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B8CB8B"/>
    <w:p w14:paraId="0DEB21CD">
      <w:pPr>
        <w:spacing w:line="540" w:lineRule="exact"/>
        <w:jc w:val="center"/>
        <w:rPr>
          <w:rFonts w:eastAsia="华文中宋"/>
          <w:b/>
          <w:kern w:val="0"/>
          <w:sz w:val="52"/>
          <w:szCs w:val="52"/>
        </w:rPr>
      </w:pPr>
    </w:p>
    <w:p w14:paraId="77819124">
      <w:pPr>
        <w:spacing w:line="540" w:lineRule="exact"/>
        <w:rPr>
          <w:rFonts w:eastAsia="华文中宋"/>
          <w:b/>
          <w:kern w:val="0"/>
          <w:sz w:val="52"/>
          <w:szCs w:val="52"/>
        </w:rPr>
      </w:pPr>
    </w:p>
    <w:p w14:paraId="050D5A16">
      <w:pPr>
        <w:spacing w:line="540" w:lineRule="exact"/>
        <w:jc w:val="center"/>
        <w:rPr>
          <w:rFonts w:eastAsia="华文中宋"/>
          <w:b/>
          <w:kern w:val="0"/>
          <w:sz w:val="52"/>
          <w:szCs w:val="52"/>
        </w:rPr>
      </w:pPr>
    </w:p>
    <w:p w14:paraId="12C0ADB9">
      <w:pPr>
        <w:spacing w:line="540" w:lineRule="exact"/>
        <w:jc w:val="center"/>
        <w:rPr>
          <w:rFonts w:hint="eastAsia" w:ascii="方正小标宋_GBK" w:hAnsi="方正小标宋_GBK" w:eastAsia="方正小标宋_GBK" w:cs="方正小标宋_GBK"/>
          <w:kern w:val="0"/>
          <w:sz w:val="48"/>
          <w:szCs w:val="48"/>
        </w:rPr>
      </w:pPr>
      <w:r>
        <w:rPr>
          <w:rFonts w:hint="eastAsia" w:ascii="方正小标宋_GBK" w:hAnsi="方正小标宋_GBK" w:eastAsia="方正小标宋_GBK" w:cs="方正小标宋_GBK"/>
          <w:kern w:val="0"/>
          <w:sz w:val="48"/>
          <w:szCs w:val="48"/>
          <w:lang w:eastAsia="zh-CN"/>
        </w:rPr>
        <w:t>学前免费教育经费</w:t>
      </w:r>
      <w:r>
        <w:rPr>
          <w:rFonts w:hint="eastAsia" w:ascii="方正小标宋_GBK" w:hAnsi="方正小标宋_GBK" w:eastAsia="方正小标宋_GBK" w:cs="方正小标宋_GBK"/>
          <w:kern w:val="0"/>
          <w:sz w:val="48"/>
          <w:szCs w:val="48"/>
        </w:rPr>
        <w:t>项目支出</w:t>
      </w:r>
    </w:p>
    <w:p w14:paraId="4C8C4926">
      <w:pPr>
        <w:spacing w:line="540" w:lineRule="exact"/>
        <w:jc w:val="center"/>
        <w:rPr>
          <w:rFonts w:hint="eastAsia" w:ascii="方正小标宋_GBK" w:hAnsi="方正小标宋_GBK" w:eastAsia="方正小标宋_GBK" w:cs="方正小标宋_GBK"/>
          <w:kern w:val="0"/>
          <w:sz w:val="48"/>
          <w:szCs w:val="48"/>
        </w:rPr>
      </w:pPr>
      <w:r>
        <w:rPr>
          <w:rFonts w:hint="eastAsia" w:ascii="方正小标宋_GBK" w:hAnsi="方正小标宋_GBK" w:eastAsia="方正小标宋_GBK" w:cs="方正小标宋_GBK"/>
          <w:kern w:val="0"/>
          <w:sz w:val="48"/>
          <w:szCs w:val="48"/>
        </w:rPr>
        <w:t>绩效评价报告</w:t>
      </w:r>
    </w:p>
    <w:p w14:paraId="4916AF8E">
      <w:pPr>
        <w:spacing w:line="540" w:lineRule="exact"/>
        <w:jc w:val="center"/>
        <w:rPr>
          <w:rFonts w:eastAsia="华文中宋"/>
          <w:b/>
          <w:kern w:val="0"/>
          <w:sz w:val="52"/>
          <w:szCs w:val="52"/>
        </w:rPr>
      </w:pPr>
    </w:p>
    <w:p w14:paraId="1C8DCEED">
      <w:pPr>
        <w:spacing w:line="540" w:lineRule="exact"/>
        <w:jc w:val="center"/>
        <w:rPr>
          <w:rFonts w:eastAsia="仿宋_GB2312"/>
          <w:kern w:val="0"/>
          <w:sz w:val="36"/>
          <w:szCs w:val="36"/>
        </w:rPr>
      </w:pPr>
      <w:r>
        <w:rPr>
          <w:rFonts w:eastAsia="仿宋_GB2312"/>
          <w:kern w:val="0"/>
          <w:sz w:val="36"/>
          <w:szCs w:val="36"/>
        </w:rPr>
        <w:t>（202</w:t>
      </w:r>
      <w:r>
        <w:rPr>
          <w:rFonts w:hint="eastAsia" w:eastAsia="仿宋_GB2312"/>
          <w:kern w:val="0"/>
          <w:sz w:val="36"/>
          <w:szCs w:val="36"/>
          <w:lang w:val="en-US" w:eastAsia="zh-CN"/>
        </w:rPr>
        <w:t>4</w:t>
      </w:r>
      <w:r>
        <w:rPr>
          <w:rFonts w:eastAsia="仿宋_GB2312"/>
          <w:kern w:val="0"/>
          <w:sz w:val="36"/>
          <w:szCs w:val="36"/>
        </w:rPr>
        <w:t>年度）</w:t>
      </w:r>
    </w:p>
    <w:p w14:paraId="4CF8F420">
      <w:pPr>
        <w:spacing w:line="540" w:lineRule="exact"/>
        <w:jc w:val="center"/>
        <w:rPr>
          <w:rFonts w:eastAsia="仿宋_GB2312"/>
          <w:kern w:val="0"/>
          <w:sz w:val="30"/>
          <w:szCs w:val="30"/>
        </w:rPr>
      </w:pPr>
    </w:p>
    <w:p w14:paraId="0627F9C7">
      <w:pPr>
        <w:spacing w:line="540" w:lineRule="exact"/>
        <w:jc w:val="center"/>
        <w:rPr>
          <w:rFonts w:eastAsia="仿宋_GB2312"/>
          <w:kern w:val="0"/>
          <w:sz w:val="30"/>
          <w:szCs w:val="30"/>
        </w:rPr>
      </w:pPr>
    </w:p>
    <w:p w14:paraId="62DAA694">
      <w:pPr>
        <w:spacing w:line="540" w:lineRule="exact"/>
        <w:jc w:val="center"/>
        <w:rPr>
          <w:rFonts w:eastAsia="仿宋_GB2312"/>
          <w:kern w:val="0"/>
          <w:sz w:val="30"/>
          <w:szCs w:val="30"/>
        </w:rPr>
      </w:pPr>
    </w:p>
    <w:p w14:paraId="7522E357">
      <w:pPr>
        <w:pStyle w:val="2"/>
      </w:pPr>
    </w:p>
    <w:p w14:paraId="045B49FA">
      <w:pPr>
        <w:spacing w:line="540" w:lineRule="exact"/>
        <w:jc w:val="center"/>
        <w:rPr>
          <w:rFonts w:eastAsia="仿宋_GB2312"/>
          <w:kern w:val="0"/>
          <w:sz w:val="30"/>
          <w:szCs w:val="30"/>
        </w:rPr>
      </w:pPr>
    </w:p>
    <w:p w14:paraId="5E2E380E">
      <w:pPr>
        <w:spacing w:line="540" w:lineRule="exact"/>
        <w:rPr>
          <w:rFonts w:eastAsia="仿宋_GB2312"/>
          <w:kern w:val="0"/>
          <w:sz w:val="30"/>
          <w:szCs w:val="30"/>
        </w:rPr>
      </w:pPr>
    </w:p>
    <w:p w14:paraId="05591EA2">
      <w:pPr>
        <w:pStyle w:val="2"/>
        <w:rPr>
          <w:rFonts w:eastAsia="仿宋_GB2312"/>
          <w:kern w:val="0"/>
          <w:sz w:val="30"/>
          <w:szCs w:val="30"/>
        </w:rPr>
      </w:pPr>
    </w:p>
    <w:p w14:paraId="53163706"/>
    <w:p w14:paraId="49520D3C"/>
    <w:p w14:paraId="62B0859A">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eastAsia" w:eastAsia="仿宋_GB2312"/>
          <w:kern w:val="0"/>
          <w:sz w:val="36"/>
          <w:szCs w:val="36"/>
          <w:lang w:eastAsia="zh-CN"/>
        </w:rPr>
      </w:pPr>
      <w:r>
        <w:rPr>
          <w:rFonts w:eastAsia="仿宋_GB2312"/>
          <w:kern w:val="0"/>
          <w:sz w:val="36"/>
          <w:szCs w:val="36"/>
        </w:rPr>
        <w:t>项目名称：</w:t>
      </w:r>
      <w:r>
        <w:rPr>
          <w:rFonts w:hint="eastAsia" w:eastAsia="仿宋_GB2312"/>
          <w:kern w:val="0"/>
          <w:sz w:val="36"/>
          <w:szCs w:val="36"/>
          <w:lang w:eastAsia="zh-CN"/>
        </w:rPr>
        <w:t>学前免费教育经费</w:t>
      </w:r>
    </w:p>
    <w:p w14:paraId="7EDE283A">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eastAsia" w:eastAsia="仿宋_GB2312"/>
          <w:kern w:val="0"/>
          <w:sz w:val="36"/>
          <w:szCs w:val="36"/>
          <w:lang w:eastAsia="zh-CN"/>
        </w:rPr>
      </w:pPr>
      <w:r>
        <w:rPr>
          <w:rFonts w:eastAsia="仿宋_GB2312"/>
          <w:kern w:val="0"/>
          <w:sz w:val="36"/>
          <w:szCs w:val="36"/>
        </w:rPr>
        <w:t>实施单位（公章）：</w:t>
      </w:r>
      <w:r>
        <w:rPr>
          <w:rFonts w:hint="eastAsia" w:eastAsia="仿宋_GB2312"/>
          <w:kern w:val="0"/>
          <w:sz w:val="36"/>
          <w:szCs w:val="36"/>
          <w:lang w:eastAsia="zh-CN"/>
        </w:rPr>
        <w:t>乌鲁木齐市水磨沟区幼儿园</w:t>
      </w:r>
    </w:p>
    <w:p w14:paraId="6AFE3E1B">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eastAsia" w:eastAsia="仿宋_GB2312"/>
          <w:kern w:val="0"/>
          <w:sz w:val="36"/>
          <w:szCs w:val="36"/>
          <w:lang w:eastAsia="zh-CN"/>
        </w:rPr>
      </w:pPr>
      <w:r>
        <w:rPr>
          <w:rFonts w:eastAsia="仿宋_GB2312"/>
          <w:kern w:val="0"/>
          <w:sz w:val="36"/>
          <w:szCs w:val="36"/>
        </w:rPr>
        <w:t>主管部门（公章）：</w:t>
      </w:r>
      <w:r>
        <w:rPr>
          <w:rFonts w:hint="eastAsia" w:eastAsia="仿宋_GB2312"/>
          <w:kern w:val="0"/>
          <w:sz w:val="36"/>
          <w:szCs w:val="36"/>
          <w:lang w:eastAsia="zh-CN"/>
        </w:rPr>
        <w:t>乌鲁木齐市水磨沟区教育局</w:t>
      </w:r>
    </w:p>
    <w:p w14:paraId="5B45E52F">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丁晓春</w:t>
      </w:r>
    </w:p>
    <w:p w14:paraId="195D7A9F">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2025</w:t>
      </w:r>
      <w:r>
        <w:rPr>
          <w:rFonts w:eastAsia="仿宋_GB2312"/>
          <w:kern w:val="0"/>
          <w:sz w:val="36"/>
          <w:szCs w:val="36"/>
        </w:rPr>
        <w:t>年</w:t>
      </w:r>
      <w:r>
        <w:rPr>
          <w:rFonts w:hint="eastAsia" w:eastAsia="仿宋_GB2312"/>
          <w:kern w:val="0"/>
          <w:sz w:val="36"/>
          <w:szCs w:val="36"/>
          <w:lang w:val="en-US" w:eastAsia="zh-CN"/>
        </w:rPr>
        <w:t>4</w:t>
      </w:r>
      <w:r>
        <w:rPr>
          <w:rFonts w:eastAsia="仿宋_GB2312"/>
          <w:kern w:val="0"/>
          <w:sz w:val="36"/>
          <w:szCs w:val="36"/>
        </w:rPr>
        <w:t>月</w:t>
      </w:r>
      <w:r>
        <w:rPr>
          <w:rFonts w:hint="eastAsia" w:eastAsia="仿宋_GB2312"/>
          <w:kern w:val="0"/>
          <w:sz w:val="36"/>
          <w:szCs w:val="36"/>
          <w:lang w:val="en-US" w:eastAsia="zh-CN"/>
        </w:rPr>
        <w:t>1</w:t>
      </w:r>
      <w:r>
        <w:rPr>
          <w:rFonts w:eastAsia="仿宋_GB2312"/>
          <w:kern w:val="0"/>
          <w:sz w:val="36"/>
          <w:szCs w:val="36"/>
        </w:rPr>
        <w:t>日</w:t>
      </w:r>
    </w:p>
    <w:p w14:paraId="4AAAEF50">
      <w:pPr>
        <w:spacing w:line="540" w:lineRule="exact"/>
        <w:rPr>
          <w:rStyle w:val="14"/>
          <w:rFonts w:eastAsia="黑体"/>
          <w:b w:val="0"/>
          <w:spacing w:val="-4"/>
          <w:sz w:val="32"/>
          <w:szCs w:val="32"/>
        </w:rPr>
        <w:sectPr>
          <w:pgSz w:w="11906" w:h="16838"/>
          <w:pgMar w:top="1440" w:right="1558" w:bottom="1440" w:left="1800" w:header="851" w:footer="992" w:gutter="0"/>
          <w:cols w:space="425" w:num="1"/>
          <w:docGrid w:type="lines" w:linePitch="312" w:charSpace="0"/>
        </w:sectPr>
      </w:pPr>
    </w:p>
    <w:p w14:paraId="7537ED1A">
      <w:pPr>
        <w:spacing w:line="560" w:lineRule="exact"/>
        <w:rPr>
          <w:rFonts w:eastAsia="黑体"/>
          <w:bCs/>
          <w:sz w:val="32"/>
          <w:szCs w:val="32"/>
        </w:rPr>
      </w:pPr>
      <w:r>
        <w:rPr>
          <w:rFonts w:eastAsia="黑体"/>
          <w:bCs/>
          <w:sz w:val="32"/>
          <w:szCs w:val="32"/>
        </w:rPr>
        <w:t>一、基本情况</w:t>
      </w:r>
    </w:p>
    <w:p w14:paraId="66382D04">
      <w:pPr>
        <w:spacing w:line="560" w:lineRule="exact"/>
        <w:ind w:firstLine="643" w:firstLineChars="200"/>
        <w:rPr>
          <w:rFonts w:eastAsia="楷体_GB2312"/>
          <w:b/>
          <w:bCs/>
          <w:sz w:val="32"/>
          <w:szCs w:val="32"/>
        </w:rPr>
      </w:pPr>
      <w:r>
        <w:rPr>
          <w:rFonts w:eastAsia="楷体_GB2312"/>
          <w:b/>
          <w:bCs/>
          <w:sz w:val="32"/>
          <w:szCs w:val="32"/>
        </w:rPr>
        <w:t>（一）项目概况</w:t>
      </w:r>
    </w:p>
    <w:p w14:paraId="25D1C375">
      <w:pPr>
        <w:pStyle w:val="19"/>
        <w:spacing w:line="560" w:lineRule="exact"/>
        <w:ind w:firstLine="640"/>
        <w:rPr>
          <w:rStyle w:val="14"/>
          <w:rFonts w:hint="eastAsia" w:eastAsia="黑体"/>
          <w:b w:val="0"/>
          <w:spacing w:val="-4"/>
          <w:sz w:val="32"/>
          <w:szCs w:val="32"/>
          <w:highlight w:val="yellow"/>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项目背景</w:t>
      </w:r>
    </w:p>
    <w:p w14:paraId="0EE2FF7C">
      <w:pPr>
        <w:spacing w:line="560" w:lineRule="exact"/>
        <w:ind w:firstLine="640" w:firstLineChars="200"/>
        <w:rPr>
          <w:rFonts w:hint="default" w:eastAsia="仿宋_GB2312"/>
          <w:sz w:val="32"/>
          <w:szCs w:val="32"/>
          <w:lang w:val="en-US" w:eastAsia="zh-CN"/>
        </w:rPr>
      </w:pPr>
      <w:r>
        <w:rPr>
          <w:rFonts w:hint="default" w:eastAsia="仿宋_GB2312"/>
          <w:sz w:val="32"/>
          <w:szCs w:val="32"/>
          <w:lang w:val="en-US" w:eastAsia="zh-CN"/>
        </w:rPr>
        <w:t>根据《印发关于加快推进乌鲁木齐市学前教育健康规范发展的实施方案的通知》〔2020〕62号，为进一步完善学前教育公共服务体系，切实办好新时代学前教育，更好实现幼有所育，对普惠性幼儿园在园实施学前三年补助。按照保教费400元/生/月，幼儿读本费130元/生/年，采暖费120元/生/年的标准给予补助，每学年的财政补助按12个月计算，免费资金合计5050元/生/年。按财政要求将此补助中的5050元，拆分出城市幼儿园每生600元，按年人数655人，农村幼儿园每生1754元，按年人数62人。用作保民生分类，由此下达我单位学前免费教育经费50.17万元。</w:t>
      </w:r>
    </w:p>
    <w:p w14:paraId="1BA18B5D">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项目主要内容</w:t>
      </w:r>
      <w:r>
        <w:rPr>
          <w:rFonts w:hint="eastAsia" w:ascii="仿宋_GB2312" w:hAnsi="仿宋_GB2312" w:eastAsia="仿宋_GB2312" w:cs="仿宋_GB2312"/>
          <w:b/>
          <w:bCs/>
          <w:sz w:val="32"/>
          <w:szCs w:val="32"/>
          <w:lang w:val="en-US" w:eastAsia="zh-CN"/>
        </w:rPr>
        <w:t>及实施情况</w:t>
      </w:r>
    </w:p>
    <w:p w14:paraId="734434C2">
      <w:pPr>
        <w:spacing w:line="560" w:lineRule="exact"/>
        <w:ind w:firstLine="640" w:firstLineChars="200"/>
        <w:rPr>
          <w:rFonts w:hint="eastAsia" w:eastAsia="仿宋_GB2312"/>
          <w:sz w:val="32"/>
          <w:szCs w:val="32"/>
          <w:lang w:val="en-US" w:eastAsia="zh-CN"/>
        </w:rPr>
      </w:pPr>
      <w:r>
        <w:rPr>
          <w:rFonts w:hint="eastAsia" w:eastAsia="仿宋_GB2312"/>
          <w:sz w:val="32"/>
          <w:szCs w:val="32"/>
        </w:rPr>
        <w:t>项目主要内容：</w:t>
      </w:r>
      <w:r>
        <w:rPr>
          <w:rFonts w:hint="eastAsia" w:eastAsia="仿宋_GB2312"/>
          <w:sz w:val="32"/>
          <w:szCs w:val="32"/>
          <w:lang w:val="en-US" w:eastAsia="zh-CN"/>
        </w:rPr>
        <w:t>此项目用于支付人员工资及公用，园内维修改造及文化建设项目使用，贯彻落实自治区关于教育惠民工程重大决策部署，全面普及学前三年教育，围绕优先发展学前教育事业的目标，持续改善办园条件，提高基础教育质量用于优化教育布局，促进教育公平，提高教学质量。</w:t>
      </w:r>
    </w:p>
    <w:p w14:paraId="71593E77">
      <w:pPr>
        <w:spacing w:line="560" w:lineRule="exact"/>
        <w:ind w:firstLine="640" w:firstLineChars="200"/>
      </w:pPr>
      <w:r>
        <w:rPr>
          <w:rFonts w:eastAsia="仿宋_GB2312"/>
          <w:sz w:val="32"/>
          <w:szCs w:val="32"/>
        </w:rPr>
        <w:t>项目实施情况：项目目前已经完成实际设立的目标，项目在实施过程中严格按照目标设立的各阶段任务进行开展工作</w:t>
      </w:r>
      <w:r>
        <w:rPr>
          <w:rFonts w:hint="eastAsia" w:eastAsia="仿宋_GB2312"/>
          <w:sz w:val="32"/>
          <w:szCs w:val="32"/>
          <w:lang w:eastAsia="zh-CN"/>
        </w:rPr>
        <w:t>。帮</w:t>
      </w:r>
      <w:r>
        <w:rPr>
          <w:rFonts w:hint="eastAsia" w:eastAsia="仿宋_GB2312"/>
          <w:sz w:val="32"/>
          <w:szCs w:val="32"/>
        </w:rPr>
        <w:t>助幼儿园提升教育教学质量，改善幼儿园办学管理水平，切实推进新疆学前教育事业发展，促进教育公平。保障学前教育需求，促进教育事业的发展。</w:t>
      </w:r>
    </w:p>
    <w:p w14:paraId="26BE81B2">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资金投入和使用情况</w:t>
      </w:r>
    </w:p>
    <w:p w14:paraId="7D3F6D87">
      <w:pPr>
        <w:spacing w:line="56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（1）资金投入情况</w:t>
      </w:r>
    </w:p>
    <w:p w14:paraId="1F36FDB5">
      <w:pPr>
        <w:spacing w:line="560" w:lineRule="exact"/>
        <w:ind w:firstLine="640" w:firstLineChars="200"/>
        <w:rPr>
          <w:rFonts w:hint="default" w:eastAsia="仿宋_GB2312"/>
          <w:color w:val="000000"/>
          <w:sz w:val="32"/>
          <w:szCs w:val="32"/>
          <w:lang w:val="en-US" w:eastAsia="zh-CN"/>
        </w:rPr>
      </w:pPr>
      <w:r>
        <w:rPr>
          <w:rFonts w:hint="eastAsia" w:eastAsia="仿宋_GB2312"/>
          <w:color w:val="000000"/>
          <w:sz w:val="32"/>
          <w:szCs w:val="32"/>
          <w:lang w:val="en-US" w:eastAsia="zh-CN"/>
        </w:rPr>
        <w:t>该项目年初预算数50.17万元，全年预算数50.17万元，实际总投入50.17万元，该项目资金已全部落实到位，资金来源为财政拨款。</w:t>
      </w:r>
    </w:p>
    <w:p w14:paraId="799C185C">
      <w:pPr>
        <w:spacing w:line="560" w:lineRule="exact"/>
        <w:ind w:firstLine="640" w:firstLineChars="200"/>
        <w:rPr>
          <w:rFonts w:hint="default" w:eastAsia="仿宋_GB2312"/>
          <w:color w:val="000000"/>
          <w:sz w:val="32"/>
          <w:szCs w:val="32"/>
          <w:lang w:val="en-US" w:eastAsia="zh-CN"/>
        </w:rPr>
      </w:pPr>
      <w:r>
        <w:rPr>
          <w:rFonts w:hint="eastAsia" w:eastAsia="仿宋_GB2312"/>
          <w:color w:val="000000"/>
          <w:sz w:val="32"/>
          <w:szCs w:val="32"/>
          <w:lang w:val="en-US" w:eastAsia="zh-CN"/>
        </w:rPr>
        <w:t>（2）资金使用情况</w:t>
      </w:r>
    </w:p>
    <w:p w14:paraId="0EC74B8F">
      <w:pPr>
        <w:spacing w:line="56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该项目年初预算数50.17万元，全年预算数50.17万元,，全年执行数24.02万元，预算执行率为47.88%，主要用于：日常水费、电费、电话费、办公费、培训费等。</w:t>
      </w:r>
    </w:p>
    <w:p w14:paraId="4C65096E">
      <w:pPr>
        <w:spacing w:line="560" w:lineRule="exact"/>
        <w:ind w:firstLine="643" w:firstLineChars="200"/>
        <w:rPr>
          <w:rFonts w:eastAsia="楷体_GB2312"/>
          <w:b/>
          <w:bCs/>
          <w:sz w:val="32"/>
          <w:szCs w:val="32"/>
        </w:rPr>
      </w:pPr>
      <w:r>
        <w:rPr>
          <w:rFonts w:eastAsia="楷体_GB2312"/>
          <w:b/>
          <w:bCs/>
          <w:sz w:val="32"/>
          <w:szCs w:val="32"/>
        </w:rPr>
        <w:t>（二）项目绩效目标</w:t>
      </w:r>
    </w:p>
    <w:p w14:paraId="65D53706">
      <w:pPr>
        <w:spacing w:line="560" w:lineRule="exact"/>
        <w:ind w:firstLine="643" w:firstLineChars="200"/>
        <w:rPr>
          <w:rFonts w:eastAsia="仿宋_GB2312"/>
          <w:sz w:val="32"/>
          <w:szCs w:val="32"/>
        </w:rPr>
      </w:pPr>
      <w:r>
        <w:rPr>
          <w:rFonts w:hint="eastAsia" w:ascii="仿宋_GB2312" w:hAnsi="仿宋_GB2312" w:eastAsia="仿宋_GB2312" w:cs="仿宋_GB2312"/>
          <w:b/>
          <w:bCs/>
          <w:kern w:val="0"/>
          <w:sz w:val="32"/>
          <w:szCs w:val="32"/>
          <w:lang w:val="en-US" w:eastAsia="zh-CN" w:bidi="ar-SA"/>
        </w:rPr>
        <w:t>1.总体目标</w:t>
      </w:r>
    </w:p>
    <w:p w14:paraId="1E003654">
      <w:pPr>
        <w:spacing w:line="56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本项目按照教育年报数据核定我园幼儿人数，财政局根据人数补充学前教育经费50.17万元。该项目具体用于项目资金用于保障人员工资及公用，园内维修及文化建设改造项目使用；全面帮助幼儿园提升教育教学质量，改善幼儿园办学管理水平，切实推进新疆学前教育事业发展，促进教育公平。保障学前教育需求，促进教育事业的发展。</w:t>
      </w:r>
    </w:p>
    <w:p w14:paraId="07147CD0">
      <w:pPr>
        <w:spacing w:line="560" w:lineRule="exact"/>
        <w:ind w:firstLine="643" w:firstLineChars="200"/>
        <w:rPr>
          <w:rFonts w:ascii="仿宋_GB2312" w:hAnsi="仿宋_GB2312" w:eastAsia="仿宋_GB2312" w:cs="仿宋_GB2312"/>
          <w:b w:val="0"/>
          <w:bCs w:val="0"/>
          <w:color w:val="FF0000"/>
          <w:sz w:val="30"/>
          <w:szCs w:val="30"/>
        </w:rPr>
      </w:pPr>
      <w:r>
        <w:rPr>
          <w:rFonts w:hint="eastAsia" w:ascii="仿宋_GB2312" w:hAnsi="仿宋_GB2312" w:eastAsia="仿宋_GB2312" w:cs="仿宋_GB2312"/>
          <w:b/>
          <w:bCs/>
          <w:kern w:val="0"/>
          <w:sz w:val="32"/>
          <w:szCs w:val="32"/>
          <w:lang w:val="en-US" w:eastAsia="zh-CN" w:bidi="ar-SA"/>
        </w:rPr>
        <w:t>2.阶段性目标</w:t>
      </w:r>
    </w:p>
    <w:p w14:paraId="5AD1D696">
      <w:pPr>
        <w:spacing w:line="560" w:lineRule="exact"/>
        <w:ind w:firstLine="640" w:firstLineChars="200"/>
        <w:rPr>
          <w:rFonts w:hint="eastAsia" w:ascii="Times New Roman" w:hAnsi="Times New Roman" w:eastAsia="仿宋_GB2312" w:cs="Times New Roman"/>
          <w:kern w:val="2"/>
          <w:sz w:val="30"/>
          <w:szCs w:val="30"/>
          <w:lang w:val="en-US" w:eastAsia="zh-CN" w:bidi="ar-SA"/>
        </w:rPr>
      </w:pPr>
      <w:r>
        <w:rPr>
          <w:rFonts w:hint="eastAsia" w:eastAsia="仿宋_GB2312"/>
          <w:color w:val="000000"/>
          <w:sz w:val="32"/>
          <w:szCs w:val="32"/>
          <w:lang w:val="en-US" w:eastAsia="zh-CN"/>
        </w:rPr>
        <w:t>2024年支付电费、电话费、水费保障幼儿园正常运转，下半年集中支付些历年例如维修费、教师培训费、专用材料费等。改善幼儿园硬件设施、改善园舍环境、通过不断培训提升教师专业素养，购买教学用具，保障教育教学需求。</w:t>
      </w:r>
    </w:p>
    <w:p w14:paraId="679026FE">
      <w:pPr>
        <w:spacing w:line="560" w:lineRule="exact"/>
        <w:ind w:firstLine="640" w:firstLineChars="200"/>
        <w:rPr>
          <w:rFonts w:eastAsia="黑体"/>
          <w:sz w:val="32"/>
          <w:szCs w:val="32"/>
        </w:rPr>
      </w:pPr>
      <w:r>
        <w:rPr>
          <w:rFonts w:eastAsia="黑体"/>
          <w:sz w:val="32"/>
          <w:szCs w:val="32"/>
        </w:rPr>
        <w:t>二、绩效评价工作开展情况</w:t>
      </w:r>
    </w:p>
    <w:p w14:paraId="7591E8F7">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4DD90DA0">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绩效评价的目的</w:t>
      </w:r>
    </w:p>
    <w:p w14:paraId="39AB3196">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360C89A4">
      <w:pPr>
        <w:numPr>
          <w:ilvl w:val="0"/>
          <w:numId w:val="1"/>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14:paraId="6B8C2D61">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14:paraId="376CACA1">
      <w:pPr>
        <w:pStyle w:val="19"/>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723F2A17">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绩效评价的对象</w:t>
      </w:r>
    </w:p>
    <w:p w14:paraId="3E671066">
      <w:pPr>
        <w:spacing w:line="560" w:lineRule="exact"/>
        <w:ind w:firstLine="640" w:firstLineChars="200"/>
        <w:rPr>
          <w:rFonts w:eastAsia="仿宋_GB2312"/>
          <w:color w:val="000000"/>
          <w:sz w:val="32"/>
          <w:szCs w:val="32"/>
        </w:rPr>
      </w:pPr>
      <w:r>
        <w:rPr>
          <w:rFonts w:hint="eastAsia" w:eastAsia="仿宋_GB2312"/>
          <w:color w:val="000000"/>
          <w:sz w:val="32"/>
          <w:szCs w:val="32"/>
          <w:lang w:eastAsia="zh-CN"/>
        </w:rPr>
        <w:t>学前免费教育经费</w:t>
      </w:r>
      <w:r>
        <w:rPr>
          <w:rFonts w:hint="eastAsia" w:eastAsia="仿宋_GB2312"/>
          <w:color w:val="000000"/>
          <w:sz w:val="32"/>
          <w:szCs w:val="32"/>
        </w:rPr>
        <w:t>项目所包含的全部项目内容。</w:t>
      </w:r>
    </w:p>
    <w:p w14:paraId="23E511D9">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绩效评价的范围</w:t>
      </w:r>
    </w:p>
    <w:p w14:paraId="626C415D">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w:t>
      </w:r>
      <w:r>
        <w:rPr>
          <w:rFonts w:hint="eastAsia" w:ascii="仿宋_GB2312" w:hAnsi="仿宋_GB2312" w:eastAsia="仿宋_GB2312" w:cs="仿宋_GB2312"/>
          <w:sz w:val="32"/>
          <w:szCs w:val="32"/>
          <w:lang w:eastAsia="zh-CN"/>
        </w:rPr>
        <w:t>学前免费教育经费项目进行</w:t>
      </w:r>
      <w:r>
        <w:rPr>
          <w:rFonts w:hint="eastAsia" w:ascii="仿宋_GB2312" w:hAnsi="仿宋_GB2312" w:eastAsia="仿宋_GB2312" w:cs="仿宋_GB2312"/>
          <w:sz w:val="32"/>
          <w:szCs w:val="32"/>
        </w:rPr>
        <w:t>评价，评价核心为专项资金的支出完成情况和效果。</w:t>
      </w:r>
    </w:p>
    <w:p w14:paraId="778F9F4F">
      <w:pPr>
        <w:spacing w:line="560" w:lineRule="exact"/>
        <w:ind w:firstLine="643" w:firstLineChars="200"/>
      </w:pPr>
      <w:r>
        <w:rPr>
          <w:rFonts w:eastAsia="楷体_GB2312"/>
          <w:b/>
          <w:bCs/>
          <w:sz w:val="32"/>
          <w:szCs w:val="32"/>
        </w:rPr>
        <w:t>（二）绩效评价原则、评价指标体系（详情见</w:t>
      </w:r>
      <w:r>
        <w:rPr>
          <w:rFonts w:hint="eastAsia" w:eastAsia="楷体_GB2312"/>
          <w:b/>
          <w:bCs/>
          <w:sz w:val="32"/>
          <w:szCs w:val="32"/>
          <w:lang w:val="en-US" w:eastAsia="zh-CN"/>
        </w:rPr>
        <w:t>附件2</w:t>
      </w:r>
      <w:r>
        <w:rPr>
          <w:rFonts w:eastAsia="楷体_GB2312"/>
          <w:b/>
          <w:bCs/>
          <w:sz w:val="32"/>
          <w:szCs w:val="32"/>
        </w:rPr>
        <w:t>）、评价方法、评价标准</w:t>
      </w:r>
    </w:p>
    <w:p w14:paraId="5CFC5778">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绩效评价原则</w:t>
      </w:r>
    </w:p>
    <w:p w14:paraId="23F13C61">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14:paraId="1685EF62">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14:paraId="4DF4986C">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14:paraId="45BC86BA">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14:paraId="790535EC">
      <w:pPr>
        <w:pStyle w:val="2"/>
        <w:spacing w:before="0" w:after="0" w:line="560" w:lineRule="exact"/>
        <w:ind w:firstLine="640" w:firstLineChars="200"/>
        <w:jc w:val="both"/>
        <w:outlineLvl w:val="9"/>
        <w:rPr>
          <w:rFonts w:ascii="Times New Roman" w:hAnsi="Times New Roman" w:eastAsia="宋体" w:cs="Times New Roman"/>
          <w:kern w:val="2"/>
          <w:sz w:val="21"/>
          <w:szCs w:val="24"/>
          <w:lang w:val="en-US" w:eastAsia="zh-CN" w:bidi="ar-SA"/>
        </w:rPr>
      </w:pPr>
      <w:r>
        <w:rPr>
          <w:rFonts w:ascii="Times New Roman" w:hAnsi="Times New Roman" w:eastAsia="仿宋_GB2312"/>
          <w:b w:val="0"/>
          <w:bCs w:val="0"/>
        </w:rPr>
        <w:t>（4）公开透明。绩效评价结果应依法依规公开，并自觉接受社会监督。</w:t>
      </w:r>
    </w:p>
    <w:p w14:paraId="158BDE44">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评价指标体系</w:t>
      </w:r>
    </w:p>
    <w:p w14:paraId="070488C5">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45C790A5">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4AE8270F">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282925DC">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14:paraId="264D5D84">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7913E102">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14:paraId="4EF78633">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52B7D7E2">
      <w:pPr>
        <w:pStyle w:val="2"/>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23D71B76">
      <w:pPr>
        <w:pStyle w:val="2"/>
        <w:widowControl w:val="0"/>
        <w:spacing w:before="0" w:after="0" w:line="560" w:lineRule="exact"/>
        <w:ind w:firstLine="708" w:firstLineChars="200"/>
        <w:jc w:val="both"/>
        <w:outlineLvl w:val="9"/>
        <w:rPr>
          <w:rFonts w:hint="default" w:ascii="Times New Roman" w:hAnsi="Times New Roman" w:eastAsia="仿宋_GB2312"/>
          <w:b w:val="0"/>
          <w:bCs w:val="0"/>
          <w:color w:val="000000"/>
          <w:spacing w:val="17"/>
          <w:lang w:val="en-US" w:eastAsia="zh-CN"/>
        </w:rPr>
      </w:pPr>
      <w:r>
        <w:rPr>
          <w:rFonts w:ascii="Times New Roman" w:hAnsi="Times New Roman" w:eastAsia="仿宋_GB2312"/>
          <w:b w:val="0"/>
          <w:bCs w:val="0"/>
          <w:color w:val="000000"/>
          <w:spacing w:val="17"/>
        </w:rPr>
        <w:t>具体评价指标体系详情见附件</w:t>
      </w:r>
      <w:r>
        <w:rPr>
          <w:rFonts w:hint="eastAsia" w:ascii="Times New Roman" w:hAnsi="Times New Roman" w:eastAsia="仿宋_GB2312"/>
          <w:b w:val="0"/>
          <w:bCs w:val="0"/>
          <w:color w:val="000000"/>
          <w:spacing w:val="17"/>
          <w:lang w:val="en-US" w:eastAsia="zh-CN"/>
        </w:rPr>
        <w:t>2。</w:t>
      </w:r>
    </w:p>
    <w:p w14:paraId="2E5B628B">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绩效评价方法</w:t>
      </w:r>
    </w:p>
    <w:p w14:paraId="1483F394">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7B895D6A">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0FE281C2">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14:paraId="17117C08">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14:paraId="007E32DB">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14:paraId="0B3668F4">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14:paraId="3B5BF3F8">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评价标准</w:t>
      </w:r>
    </w:p>
    <w:p w14:paraId="5435EEDE">
      <w:pPr>
        <w:spacing w:line="560" w:lineRule="exact"/>
        <w:ind w:firstLine="640"/>
        <w:rPr>
          <w:rFonts w:hint="eastAsia" w:eastAsia="方正仿宋_GBK" w:cs="方正仿宋_GBK"/>
          <w:sz w:val="32"/>
          <w:szCs w:val="32"/>
        </w:rPr>
      </w:pPr>
      <w:r>
        <w:rPr>
          <w:rFonts w:hint="eastAsia" w:eastAsia="方正仿宋_GBK" w:cs="方正仿宋_GBK"/>
          <w:sz w:val="32"/>
          <w:szCs w:val="32"/>
        </w:rPr>
        <w:t>绩效评价标准通常包括计划标准、行业标准、历史标准等，用于对绩效指标完成情况进行比较、分析、评价。本次评价主要采用了</w:t>
      </w:r>
      <w:r>
        <w:rPr>
          <w:rFonts w:hint="eastAsia" w:eastAsia="方正仿宋_GBK" w:cs="方正仿宋_GBK"/>
          <w:sz w:val="32"/>
          <w:szCs w:val="32"/>
          <w:lang w:eastAsia="zh-CN"/>
        </w:rPr>
        <w:t>计划</w:t>
      </w:r>
      <w:r>
        <w:rPr>
          <w:rFonts w:hint="eastAsia" w:eastAsia="方正仿宋_GBK" w:cs="方正仿宋_GBK"/>
          <w:sz w:val="32"/>
          <w:szCs w:val="32"/>
        </w:rPr>
        <w:t>标准。</w:t>
      </w:r>
    </w:p>
    <w:p w14:paraId="1207993D">
      <w:pPr>
        <w:spacing w:line="560" w:lineRule="exact"/>
        <w:ind w:firstLine="640"/>
        <w:rPr>
          <w:rFonts w:eastAsia="方正仿宋_GBK" w:cs="方正仿宋_GBK"/>
          <w:sz w:val="32"/>
          <w:szCs w:val="32"/>
        </w:rPr>
      </w:pPr>
      <w:bookmarkStart w:id="0" w:name="_Toc31464"/>
      <w:bookmarkStart w:id="1" w:name="_Toc17882"/>
      <w:r>
        <w:rPr>
          <w:rFonts w:hint="eastAsia" w:eastAsia="方正仿宋_GBK" w:cs="方正仿宋_GBK"/>
          <w:b/>
          <w:bCs/>
          <w:sz w:val="32"/>
          <w:szCs w:val="32"/>
        </w:rPr>
        <w:t>计划标准：</w:t>
      </w:r>
      <w:r>
        <w:rPr>
          <w:rFonts w:hint="eastAsia" w:eastAsia="方正仿宋_GBK" w:cs="方正仿宋_GBK"/>
          <w:sz w:val="32"/>
          <w:szCs w:val="32"/>
        </w:rPr>
        <w:t>指以预先制定的目标、计划、预算、定额等作为评价标准。</w:t>
      </w:r>
      <w:bookmarkEnd w:id="0"/>
      <w:bookmarkEnd w:id="1"/>
    </w:p>
    <w:p w14:paraId="56E571A4">
      <w:pPr>
        <w:pStyle w:val="2"/>
        <w:numPr>
          <w:ilvl w:val="0"/>
          <w:numId w:val="2"/>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14:paraId="1CCF2966">
      <w:pPr>
        <w:spacing w:line="560" w:lineRule="exact"/>
        <w:ind w:firstLine="643" w:firstLineChars="200"/>
        <w:rPr>
          <w:rFonts w:eastAsia="仿宋_GB2312"/>
          <w:bCs/>
          <w:sz w:val="32"/>
          <w:szCs w:val="32"/>
        </w:rPr>
      </w:pPr>
      <w:r>
        <w:rPr>
          <w:rFonts w:hint="eastAsia" w:ascii="仿宋_GB2312" w:hAnsi="仿宋_GB2312" w:eastAsia="仿宋_GB2312" w:cs="仿宋_GB2312"/>
          <w:b/>
          <w:bCs/>
          <w:sz w:val="32"/>
          <w:szCs w:val="32"/>
        </w:rPr>
        <w:t>1.前期准备。</w:t>
      </w:r>
      <w:r>
        <w:rPr>
          <w:rFonts w:hint="eastAsia" w:eastAsia="仿宋_GB2312"/>
          <w:bCs/>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6B5264C6">
      <w:pPr>
        <w:spacing w:line="560" w:lineRule="exact"/>
        <w:ind w:firstLine="643" w:firstLineChars="200"/>
        <w:rPr>
          <w:rFonts w:eastAsia="仿宋_GB2312"/>
          <w:bCs/>
          <w:sz w:val="32"/>
          <w:szCs w:val="32"/>
        </w:rPr>
      </w:pPr>
      <w:r>
        <w:rPr>
          <w:rFonts w:hint="eastAsia" w:ascii="仿宋_GB2312" w:hAnsi="仿宋_GB2312" w:eastAsia="仿宋_GB2312" w:cs="仿宋_GB2312"/>
          <w:b/>
          <w:bCs/>
          <w:sz w:val="32"/>
          <w:szCs w:val="32"/>
        </w:rPr>
        <w:t>2.组织实施。</w:t>
      </w:r>
      <w:r>
        <w:rPr>
          <w:rFonts w:hint="eastAsia" w:eastAsia="仿宋_GB2312"/>
          <w:bCs/>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4B3DB0E7">
      <w:pPr>
        <w:spacing w:line="560" w:lineRule="exact"/>
        <w:ind w:firstLine="643" w:firstLineChars="200"/>
        <w:rPr>
          <w:sz w:val="32"/>
          <w:szCs w:val="32"/>
        </w:rPr>
      </w:pPr>
      <w:r>
        <w:rPr>
          <w:rFonts w:hint="eastAsia" w:ascii="仿宋_GB2312" w:hAnsi="仿宋_GB2312" w:eastAsia="仿宋_GB2312" w:cs="仿宋_GB2312"/>
          <w:b/>
          <w:bCs/>
          <w:sz w:val="32"/>
          <w:szCs w:val="32"/>
        </w:rPr>
        <w:t>3.分析评价。</w:t>
      </w:r>
      <w:r>
        <w:rPr>
          <w:rFonts w:hint="eastAsia" w:eastAsia="仿宋_GB2312"/>
          <w:bCs/>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2311D2BF">
      <w:pPr>
        <w:numPr>
          <w:ilvl w:val="0"/>
          <w:numId w:val="3"/>
        </w:numPr>
        <w:spacing w:line="560" w:lineRule="exact"/>
        <w:ind w:firstLine="640" w:firstLineChars="200"/>
        <w:rPr>
          <w:rFonts w:eastAsia="黑体"/>
          <w:sz w:val="32"/>
          <w:szCs w:val="32"/>
        </w:rPr>
      </w:pPr>
      <w:r>
        <w:rPr>
          <w:rFonts w:eastAsia="黑体"/>
          <w:sz w:val="32"/>
          <w:szCs w:val="32"/>
        </w:rPr>
        <w:t>综合评价情况及评价结论（附相关评分表）</w:t>
      </w:r>
    </w:p>
    <w:p w14:paraId="44AA0E4C">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14:paraId="1B58C7D6">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5F9F24D">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14:paraId="1E142507">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b w:val="0"/>
          <w:bCs w:val="0"/>
          <w:lang w:val="en-US" w:eastAsia="zh-CN"/>
        </w:rPr>
        <w:t>97.49</w:t>
      </w:r>
      <w:r>
        <w:rPr>
          <w:rFonts w:hint="eastAsia" w:ascii="Times New Roman" w:hAnsi="Times New Roman" w:eastAsia="仿宋_GB2312"/>
          <w:b w:val="0"/>
          <w:bCs w:val="0"/>
        </w:rPr>
        <w:t xml:space="preserve">分，属于“优”。其中，项目决策类指标权重为20分，得分为 </w:t>
      </w:r>
      <w:r>
        <w:rPr>
          <w:rFonts w:hint="eastAsia" w:ascii="Times New Roman" w:hAnsi="Times New Roman" w:eastAsia="仿宋_GB2312"/>
          <w:b w:val="0"/>
          <w:bCs w:val="0"/>
          <w:lang w:val="en-US" w:eastAsia="zh-CN"/>
        </w:rPr>
        <w:t>20</w:t>
      </w:r>
      <w:r>
        <w:rPr>
          <w:rFonts w:hint="eastAsia" w:ascii="Times New Roman" w:hAnsi="Times New Roman" w:eastAsia="仿宋_GB2312"/>
          <w:b w:val="0"/>
          <w:bCs w:val="0"/>
        </w:rPr>
        <w:t xml:space="preserve">分，得分率为 </w:t>
      </w:r>
      <w:r>
        <w:rPr>
          <w:rFonts w:hint="eastAsia" w:ascii="Times New Roman" w:hAnsi="Times New Roman" w:eastAsia="仿宋_GB2312"/>
          <w:b w:val="0"/>
          <w:bCs w:val="0"/>
          <w:lang w:val="en-US" w:eastAsia="zh-CN"/>
        </w:rPr>
        <w:t>90</w:t>
      </w:r>
      <w:r>
        <w:rPr>
          <w:rFonts w:hint="eastAsia" w:ascii="Times New Roman" w:hAnsi="Times New Roman" w:eastAsia="仿宋_GB2312"/>
          <w:b w:val="0"/>
          <w:bCs w:val="0"/>
        </w:rPr>
        <w:t>%。项目过程类指标权重为20分，得分为</w:t>
      </w:r>
      <w:r>
        <w:rPr>
          <w:rFonts w:hint="eastAsia" w:ascii="Times New Roman" w:hAnsi="Times New Roman" w:eastAsia="仿宋_GB2312"/>
          <w:b w:val="0"/>
          <w:bCs w:val="0"/>
          <w:lang w:val="en-US" w:eastAsia="zh-CN"/>
        </w:rPr>
        <w:t>17.92</w:t>
      </w:r>
      <w:r>
        <w:rPr>
          <w:rFonts w:hint="eastAsia" w:ascii="Times New Roman" w:hAnsi="Times New Roman" w:eastAsia="仿宋_GB2312"/>
          <w:b w:val="0"/>
          <w:bCs w:val="0"/>
        </w:rPr>
        <w:t xml:space="preserve">分，得分率为 </w:t>
      </w:r>
      <w:r>
        <w:rPr>
          <w:rFonts w:hint="eastAsia" w:ascii="Times New Roman" w:hAnsi="Times New Roman" w:eastAsia="仿宋_GB2312"/>
          <w:b w:val="0"/>
          <w:bCs w:val="0"/>
          <w:lang w:val="en-US" w:eastAsia="zh-CN"/>
        </w:rPr>
        <w:t>89.6</w:t>
      </w:r>
      <w:r>
        <w:rPr>
          <w:rFonts w:hint="eastAsia" w:ascii="Times New Roman" w:hAnsi="Times New Roman" w:eastAsia="仿宋_GB2312"/>
          <w:b w:val="0"/>
          <w:bCs w:val="0"/>
        </w:rPr>
        <w:t>%。项目产出类指标权重为40分，得分为</w:t>
      </w:r>
      <w:r>
        <w:rPr>
          <w:rFonts w:hint="eastAsia" w:ascii="Times New Roman" w:hAnsi="Times New Roman" w:eastAsia="仿宋_GB2312"/>
          <w:b w:val="0"/>
          <w:bCs w:val="0"/>
          <w:lang w:val="en-US" w:eastAsia="zh-CN"/>
        </w:rPr>
        <w:t>39.57</w:t>
      </w:r>
      <w:r>
        <w:rPr>
          <w:rFonts w:hint="eastAsia" w:ascii="Times New Roman" w:hAnsi="Times New Roman" w:eastAsia="仿宋_GB2312"/>
          <w:b w:val="0"/>
          <w:bCs w:val="0"/>
        </w:rPr>
        <w:t xml:space="preserve">分，得分率为 </w:t>
      </w:r>
      <w:r>
        <w:rPr>
          <w:rFonts w:hint="eastAsia" w:ascii="Times New Roman" w:hAnsi="Times New Roman" w:eastAsia="仿宋_GB2312"/>
          <w:b w:val="0"/>
          <w:bCs w:val="0"/>
          <w:lang w:val="en-US" w:eastAsia="zh-CN"/>
        </w:rPr>
        <w:t>98.93</w:t>
      </w:r>
      <w:r>
        <w:rPr>
          <w:rFonts w:hint="eastAsia" w:ascii="Times New Roman" w:hAnsi="Times New Roman" w:eastAsia="仿宋_GB2312"/>
          <w:b w:val="0"/>
          <w:bCs w:val="0"/>
        </w:rPr>
        <w:t>%。项目效益类指标权重为20分，得分为</w:t>
      </w:r>
      <w:r>
        <w:rPr>
          <w:rFonts w:hint="eastAsia" w:ascii="Times New Roman" w:hAnsi="Times New Roman" w:eastAsia="仿宋_GB2312"/>
          <w:b w:val="0"/>
          <w:bCs w:val="0"/>
          <w:lang w:val="en-US" w:eastAsia="zh-CN"/>
        </w:rPr>
        <w:t>20</w:t>
      </w:r>
      <w:r>
        <w:rPr>
          <w:rFonts w:hint="eastAsia" w:ascii="Times New Roman" w:hAnsi="Times New Roman" w:eastAsia="仿宋_GB2312"/>
          <w:b w:val="0"/>
          <w:bCs w:val="0"/>
        </w:rPr>
        <w:t>分，得分率为</w:t>
      </w:r>
      <w:r>
        <w:rPr>
          <w:rFonts w:hint="eastAsia" w:ascii="Times New Roman" w:hAnsi="Times New Roman" w:eastAsia="仿宋_GB2312"/>
          <w:b w:val="0"/>
          <w:bCs w:val="0"/>
          <w:lang w:val="en-US" w:eastAsia="zh-CN"/>
        </w:rPr>
        <w:t>100</w:t>
      </w:r>
      <w:r>
        <w:rPr>
          <w:rFonts w:hint="eastAsia" w:ascii="Times New Roman" w:hAnsi="Times New Roman" w:eastAsia="仿宋_GB2312"/>
          <w:b w:val="0"/>
          <w:bCs w:val="0"/>
        </w:rPr>
        <w:t>%。具体打分情况详见：</w:t>
      </w:r>
      <w:r>
        <w:rPr>
          <w:rFonts w:hint="eastAsia" w:ascii="Times New Roman" w:hAnsi="Times New Roman" w:eastAsia="仿宋_GB2312"/>
          <w:b w:val="0"/>
          <w:bCs w:val="0"/>
          <w:lang w:val="en-US" w:eastAsia="zh-CN"/>
        </w:rPr>
        <w:t>表</w:t>
      </w:r>
      <w:r>
        <w:rPr>
          <w:rFonts w:hint="eastAsia" w:ascii="Times New Roman" w:hAnsi="Times New Roman" w:eastAsia="仿宋_GB2312"/>
          <w:b w:val="0"/>
          <w:bCs w:val="0"/>
        </w:rPr>
        <w:t>1</w:t>
      </w:r>
      <w:r>
        <w:rPr>
          <w:rFonts w:hint="eastAsia" w:ascii="Times New Roman" w:hAnsi="Times New Roman" w:eastAsia="仿宋_GB2312"/>
          <w:b w:val="0"/>
          <w:bCs w:val="0"/>
          <w:lang w:val="en-US" w:eastAsia="zh-CN"/>
        </w:rPr>
        <w:t>.</w:t>
      </w:r>
      <w:r>
        <w:rPr>
          <w:rFonts w:hint="eastAsia" w:ascii="Times New Roman" w:hAnsi="Times New Roman" w:eastAsia="仿宋_GB2312"/>
          <w:b w:val="0"/>
          <w:bCs w:val="0"/>
        </w:rPr>
        <w:t>综合评分表。</w:t>
      </w:r>
    </w:p>
    <w:p w14:paraId="543F764F">
      <w:pPr>
        <w:pStyle w:val="2"/>
        <w:spacing w:before="0" w:after="0"/>
        <w:rPr>
          <w:rFonts w:ascii="Times New Roman" w:hAnsi="Times New Roman" w:eastAsia="仿宋_GB2312"/>
          <w:sz w:val="30"/>
          <w:szCs w:val="30"/>
        </w:rPr>
      </w:pPr>
      <w:r>
        <w:rPr>
          <w:rFonts w:ascii="Times New Roman" w:hAnsi="Times New Roman" w:eastAsia="仿宋_GB2312"/>
          <w:sz w:val="30"/>
          <w:szCs w:val="30"/>
        </w:rPr>
        <w:t>表1</w:t>
      </w:r>
      <w:r>
        <w:rPr>
          <w:rFonts w:hint="eastAsia" w:ascii="Times New Roman" w:hAnsi="Times New Roman" w:eastAsia="仿宋_GB2312"/>
          <w:sz w:val="30"/>
          <w:szCs w:val="30"/>
          <w:lang w:val="en-US" w:eastAsia="zh-CN"/>
        </w:rPr>
        <w:t>.</w:t>
      </w:r>
      <w:r>
        <w:rPr>
          <w:rFonts w:ascii="Times New Roman" w:hAnsi="Times New Roman" w:eastAsia="仿宋_GB2312"/>
          <w:sz w:val="30"/>
          <w:szCs w:val="30"/>
        </w:rPr>
        <w:t>综合评分表</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185AC720">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3287606F">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6A8A8919">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10C5D6DE">
            <w:pPr>
              <w:jc w:val="center"/>
              <w:rPr>
                <w:b/>
                <w:bCs/>
                <w:color w:val="000000"/>
                <w:sz w:val="22"/>
              </w:rPr>
            </w:pPr>
            <w:r>
              <w:rPr>
                <w:rFonts w:hint="eastAsia"/>
                <w:b/>
                <w:bCs/>
                <w:color w:val="000000"/>
                <w:sz w:val="22"/>
              </w:rPr>
              <w:t>得分</w:t>
            </w:r>
          </w:p>
        </w:tc>
      </w:tr>
      <w:tr w14:paraId="1740C87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1211503">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7CD6C5CF">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581AF06F">
            <w:pPr>
              <w:jc w:val="center"/>
              <w:rPr>
                <w:rFonts w:hint="default" w:eastAsia="宋体"/>
                <w:color w:val="000000"/>
                <w:sz w:val="22"/>
                <w:lang w:val="en-US" w:eastAsia="zh-CN"/>
              </w:rPr>
            </w:pPr>
            <w:r>
              <w:rPr>
                <w:rFonts w:hint="eastAsia"/>
                <w:color w:val="000000"/>
                <w:sz w:val="22"/>
                <w:lang w:val="en-US" w:eastAsia="zh-CN"/>
              </w:rPr>
              <w:t>20</w:t>
            </w:r>
          </w:p>
        </w:tc>
      </w:tr>
      <w:tr w14:paraId="7FE4D96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4F5C1EB">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243B47E5">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435F9632">
            <w:pPr>
              <w:jc w:val="center"/>
              <w:rPr>
                <w:rFonts w:hint="default" w:eastAsia="宋体"/>
                <w:color w:val="000000"/>
                <w:sz w:val="22"/>
                <w:lang w:val="en-US" w:eastAsia="zh-CN"/>
              </w:rPr>
            </w:pPr>
            <w:r>
              <w:rPr>
                <w:rFonts w:hint="eastAsia"/>
                <w:color w:val="000000"/>
                <w:sz w:val="22"/>
                <w:lang w:val="en-US" w:eastAsia="zh-CN"/>
              </w:rPr>
              <w:t>17.92</w:t>
            </w:r>
          </w:p>
        </w:tc>
      </w:tr>
      <w:tr w14:paraId="7925A8F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AD6B70F">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58AFEA14">
            <w:pPr>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14:paraId="1D96F89D">
            <w:pPr>
              <w:jc w:val="center"/>
              <w:rPr>
                <w:rFonts w:hint="default" w:eastAsia="宋体"/>
                <w:color w:val="000000"/>
                <w:sz w:val="22"/>
                <w:lang w:val="en-US" w:eastAsia="zh-CN"/>
              </w:rPr>
            </w:pPr>
            <w:r>
              <w:rPr>
                <w:rFonts w:hint="eastAsia"/>
                <w:color w:val="000000"/>
                <w:sz w:val="22"/>
                <w:lang w:val="en-US" w:eastAsia="zh-CN"/>
              </w:rPr>
              <w:t>39.57</w:t>
            </w:r>
          </w:p>
        </w:tc>
      </w:tr>
      <w:tr w14:paraId="162C0A2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85A3390">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2CA615AD">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4474615C">
            <w:pPr>
              <w:jc w:val="center"/>
              <w:rPr>
                <w:rFonts w:hint="default" w:eastAsia="宋体"/>
                <w:color w:val="000000"/>
                <w:sz w:val="22"/>
                <w:lang w:val="en-US" w:eastAsia="zh-CN"/>
              </w:rPr>
            </w:pPr>
            <w:r>
              <w:rPr>
                <w:rFonts w:hint="eastAsia"/>
                <w:color w:val="000000"/>
                <w:sz w:val="22"/>
                <w:lang w:val="en-US" w:eastAsia="zh-CN"/>
              </w:rPr>
              <w:t>20</w:t>
            </w:r>
          </w:p>
        </w:tc>
      </w:tr>
      <w:tr w14:paraId="45C3695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D609247">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4AFA26E7">
            <w:pPr>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14:paraId="4EE62404">
            <w:pPr>
              <w:jc w:val="center"/>
              <w:rPr>
                <w:rFonts w:hint="default" w:eastAsia="宋体"/>
                <w:b/>
                <w:bCs/>
                <w:color w:val="000000"/>
                <w:sz w:val="22"/>
                <w:lang w:val="en-US" w:eastAsia="zh-CN"/>
              </w:rPr>
            </w:pPr>
            <w:r>
              <w:rPr>
                <w:rFonts w:hint="eastAsia"/>
                <w:b/>
                <w:bCs/>
                <w:color w:val="000000"/>
                <w:sz w:val="22"/>
                <w:lang w:val="en-US" w:eastAsia="zh-CN"/>
              </w:rPr>
              <w:t>97.49</w:t>
            </w:r>
          </w:p>
        </w:tc>
      </w:tr>
    </w:tbl>
    <w:p w14:paraId="73839953">
      <w:pPr>
        <w:spacing w:line="560" w:lineRule="exact"/>
        <w:ind w:firstLine="640" w:firstLineChars="200"/>
        <w:rPr>
          <w:rFonts w:eastAsia="黑体"/>
          <w:sz w:val="32"/>
          <w:szCs w:val="32"/>
        </w:rPr>
      </w:pPr>
      <w:r>
        <w:rPr>
          <w:rFonts w:eastAsia="黑体"/>
          <w:sz w:val="32"/>
          <w:szCs w:val="32"/>
        </w:rPr>
        <w:t>四、绩效评价指标分析</w:t>
      </w:r>
    </w:p>
    <w:p w14:paraId="011855B0">
      <w:pPr>
        <w:pStyle w:val="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49F86D30">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项目决策类指标包括项目立项、绩效目标和资金投入三方面的内容，由6个三级指标构成，权重分值为20分，实际得分20分，得分率为100%。</w:t>
      </w:r>
    </w:p>
    <w:p w14:paraId="5EC2631A">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14:paraId="07088A4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14:paraId="61B4A258">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75E6D79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14:paraId="101B56D2">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246D8755">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14:paraId="16877F4D">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14:paraId="13F6049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11A1D40B">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14:paraId="453332FC">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14:paraId="6F590879">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14:paraId="1CA6A7EA">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14:paraId="5B6050A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p>
    <w:p w14:paraId="5F3D0FF3">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14:paraId="571CE51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w:t>
      </w:r>
    </w:p>
    <w:p w14:paraId="1EB93DF0">
      <w:pPr>
        <w:pStyle w:val="2"/>
        <w:numPr>
          <w:ilvl w:val="0"/>
          <w:numId w:val="4"/>
        </w:numPr>
        <w:spacing w:before="0" w:after="0" w:line="560" w:lineRule="exact"/>
        <w:ind w:left="-13" w:leftChars="0" w:firstLine="643" w:firstLineChars="0"/>
        <w:jc w:val="both"/>
        <w:rPr>
          <w:rFonts w:ascii="楷体" w:hAnsi="楷体" w:eastAsia="楷体" w:cs="楷体"/>
        </w:rPr>
      </w:pPr>
      <w:r>
        <w:rPr>
          <w:rFonts w:hint="eastAsia" w:ascii="楷体" w:hAnsi="楷体" w:eastAsia="楷体" w:cs="楷体"/>
        </w:rPr>
        <w:t>项目过程情况</w:t>
      </w:r>
    </w:p>
    <w:p w14:paraId="4E695C89">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仿宋_GB2312" w:hAnsi="仿宋_GB2312" w:eastAsia="仿宋_GB2312" w:cs="仿宋_GB2312"/>
          <w:sz w:val="32"/>
          <w:szCs w:val="32"/>
        </w:rPr>
        <w:t>项</w:t>
      </w:r>
      <w:r>
        <w:rPr>
          <w:rFonts w:hint="eastAsia" w:ascii="Times New Roman" w:hAnsi="Times New Roman" w:eastAsia="仿宋_GB2312" w:cs="Times New Roman"/>
          <w:b w:val="0"/>
          <w:bCs w:val="0"/>
          <w:kern w:val="28"/>
          <w:sz w:val="32"/>
          <w:szCs w:val="32"/>
          <w:lang w:val="en-US" w:eastAsia="zh-CN" w:bidi="ar-SA"/>
        </w:rPr>
        <w:t>目过程类指标包括资金管理和组织实施两方面的内容，由5个三级指标构成，权重分值为20分，实际得分17.92分，得分率为89.6%。</w:t>
      </w:r>
    </w:p>
    <w:p w14:paraId="63BD990F">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53C706EA">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14:paraId="5F12C388">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14:paraId="4766768A">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本项目总投资50.17万元，财政资金及时足额到位，到位率100%，预算资金按计划进度执行。</w:t>
      </w:r>
    </w:p>
    <w:p w14:paraId="717F5FF3">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（2）预算执行率</w:t>
      </w:r>
    </w:p>
    <w:p w14:paraId="6141316B">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预算编制较为详细，项目资金支出总体能够按照预算执行，预算资金支出24.02万元，预算执行率为47.88%。</w:t>
      </w:r>
    </w:p>
    <w:p w14:paraId="66EADF8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14:paraId="302D021A">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1057C1B4">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14:paraId="3A158042">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14:paraId="52F7A698">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0DABACCB">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14:paraId="2A5AC3D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14:paraId="5E9EF8B0">
      <w:pPr>
        <w:pStyle w:val="9"/>
        <w:numPr>
          <w:ilvl w:val="0"/>
          <w:numId w:val="4"/>
        </w:numPr>
        <w:spacing w:line="560" w:lineRule="exact"/>
        <w:ind w:left="-13" w:leftChars="0" w:firstLine="643" w:firstLineChars="0"/>
        <w:rPr>
          <w:rFonts w:eastAsia="楷体_GB2312"/>
          <w:b/>
          <w:bCs/>
          <w:sz w:val="32"/>
          <w:szCs w:val="32"/>
          <w:highlight w:val="none"/>
        </w:rPr>
      </w:pPr>
      <w:r>
        <w:rPr>
          <w:rFonts w:eastAsia="楷体_GB2312"/>
          <w:b/>
          <w:bCs/>
          <w:sz w:val="32"/>
          <w:szCs w:val="32"/>
          <w:highlight w:val="none"/>
        </w:rPr>
        <w:t>项目产出</w:t>
      </w:r>
      <w:r>
        <w:rPr>
          <w:rFonts w:hint="eastAsia" w:eastAsia="楷体_GB2312"/>
          <w:b/>
          <w:bCs/>
          <w:sz w:val="32"/>
          <w:szCs w:val="32"/>
          <w:highlight w:val="none"/>
        </w:rPr>
        <w:t>情况</w:t>
      </w:r>
    </w:p>
    <w:p w14:paraId="28F0994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项目产出类指标</w:t>
      </w:r>
      <w:r>
        <w:rPr>
          <w:rFonts w:hint="eastAsia" w:ascii="Times New Roman" w:hAnsi="Times New Roman" w:eastAsia="仿宋_GB2312" w:cs="Times New Roman"/>
          <w:b w:val="0"/>
          <w:bCs w:val="0"/>
          <w:kern w:val="28"/>
          <w:sz w:val="32"/>
          <w:szCs w:val="32"/>
          <w:lang w:val="en-US" w:eastAsia="zh-CN" w:bidi="ar-SA"/>
        </w:rPr>
        <w:t>包括产出数量、产出质量、产出时效、产出成本四方面的内容，由5个三级指标构成，权重分为40分，实际得分39.57分，得分率为98.93%。</w:t>
      </w:r>
      <w:r>
        <w:rPr>
          <w:rFonts w:hint="eastAsia" w:ascii="仿宋_GB2312" w:hAnsi="仿宋_GB2312" w:eastAsia="仿宋_GB2312" w:cs="仿宋_GB2312"/>
          <w:sz w:val="32"/>
          <w:szCs w:val="32"/>
        </w:rPr>
        <w:t>具体产出指标完成情况如下：</w:t>
      </w:r>
    </w:p>
    <w:p w14:paraId="7725D98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14:paraId="2BD243A6">
      <w:pPr>
        <w:spacing w:line="600" w:lineRule="exact"/>
        <w:ind w:firstLine="640" w:firstLineChars="200"/>
        <w:outlineLvl w:val="0"/>
        <w:rPr>
          <w:rFonts w:hint="default"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指标1：补助政策受益学生人数，指标值：大于等于655人，实际完成值：926人，指标完成率141.37%，偏差原因：因38幼扩班，幼儿人数增加。改进措施：今后准确预算幼儿人数。</w:t>
      </w:r>
    </w:p>
    <w:p w14:paraId="4512729F">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指标2：日常购买物品支出类别，指标值：等于2类，实际完成值：1类，指标完成率50%，偏差原因：本年度采购类别较少。改进措施：今后根据实际情况合理规划实施采购。</w:t>
      </w:r>
    </w:p>
    <w:p w14:paraId="5BA5CDC0">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fldChar w:fldCharType="begin"/>
      </w:r>
      <w:r>
        <w:rPr>
          <w:rFonts w:hint="eastAsia" w:ascii="Times New Roman" w:hAnsi="Times New Roman" w:eastAsia="仿宋_GB2312" w:cs="Times New Roman"/>
          <w:b w:val="0"/>
          <w:bCs w:val="0"/>
          <w:kern w:val="28"/>
          <w:sz w:val="32"/>
          <w:szCs w:val="32"/>
          <w:lang w:val="en-US" w:eastAsia="zh-CN" w:bidi="ar-SA"/>
        </w:rPr>
        <w:instrText xml:space="preserve"> = 2 \* GB3 </w:instrText>
      </w:r>
      <w:r>
        <w:rPr>
          <w:rFonts w:hint="eastAsia" w:ascii="Times New Roman" w:hAnsi="Times New Roman" w:eastAsia="仿宋_GB2312" w:cs="Times New Roman"/>
          <w:b w:val="0"/>
          <w:bCs w:val="0"/>
          <w:kern w:val="28"/>
          <w:sz w:val="32"/>
          <w:szCs w:val="32"/>
          <w:lang w:val="en-US" w:eastAsia="zh-CN" w:bidi="ar-SA"/>
        </w:rPr>
        <w:fldChar w:fldCharType="separate"/>
      </w:r>
      <w:r>
        <w:rPr>
          <w:rFonts w:hint="eastAsia" w:ascii="Times New Roman" w:hAnsi="Times New Roman" w:eastAsia="仿宋_GB2312" w:cs="Times New Roman"/>
          <w:b w:val="0"/>
          <w:bCs w:val="0"/>
          <w:kern w:val="28"/>
          <w:sz w:val="32"/>
          <w:szCs w:val="32"/>
          <w:lang w:val="en-US" w:eastAsia="zh-CN" w:bidi="ar-SA"/>
        </w:rPr>
        <w:t>②</w:t>
      </w:r>
      <w:r>
        <w:rPr>
          <w:rFonts w:hint="eastAsia" w:ascii="Times New Roman" w:hAnsi="Times New Roman" w:eastAsia="仿宋_GB2312" w:cs="Times New Roman"/>
          <w:b w:val="0"/>
          <w:bCs w:val="0"/>
          <w:kern w:val="28"/>
          <w:sz w:val="32"/>
          <w:szCs w:val="32"/>
          <w:lang w:val="en-US" w:eastAsia="zh-CN" w:bidi="ar-SA"/>
        </w:rPr>
        <w:fldChar w:fldCharType="end"/>
      </w:r>
      <w:r>
        <w:rPr>
          <w:rFonts w:hint="eastAsia" w:ascii="Times New Roman" w:hAnsi="Times New Roman" w:eastAsia="仿宋_GB2312" w:cs="Times New Roman"/>
          <w:b w:val="0"/>
          <w:bCs w:val="0"/>
          <w:kern w:val="28"/>
          <w:sz w:val="32"/>
          <w:szCs w:val="32"/>
          <w:lang w:val="en-US" w:eastAsia="zh-CN" w:bidi="ar-SA"/>
        </w:rPr>
        <w:t>质量指标：</w:t>
      </w:r>
    </w:p>
    <w:p w14:paraId="43868599">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指标1：符合补助政策幼儿覆盖率，指标值：等于100%，实际完成值：100%，指标完成率100%。偏差原因：无。</w:t>
      </w:r>
    </w:p>
    <w:p w14:paraId="2B5696F0">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指标2：购买物品质量合格率，指标值：等于100%，实际完成值：100%，指标完成率100%。偏差原因：无。</w:t>
      </w:r>
    </w:p>
    <w:p w14:paraId="30540DE9">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fldChar w:fldCharType="begin"/>
      </w:r>
      <w:r>
        <w:rPr>
          <w:rFonts w:hint="eastAsia" w:ascii="Times New Roman" w:hAnsi="Times New Roman" w:eastAsia="仿宋_GB2312" w:cs="Times New Roman"/>
          <w:b w:val="0"/>
          <w:bCs w:val="0"/>
          <w:kern w:val="28"/>
          <w:sz w:val="32"/>
          <w:szCs w:val="32"/>
          <w:lang w:val="en-US" w:eastAsia="zh-CN" w:bidi="ar-SA"/>
        </w:rPr>
        <w:instrText xml:space="preserve"> = 3 \* GB3 </w:instrText>
      </w:r>
      <w:r>
        <w:rPr>
          <w:rFonts w:hint="eastAsia" w:ascii="Times New Roman" w:hAnsi="Times New Roman" w:eastAsia="仿宋_GB2312" w:cs="Times New Roman"/>
          <w:b w:val="0"/>
          <w:bCs w:val="0"/>
          <w:kern w:val="28"/>
          <w:sz w:val="32"/>
          <w:szCs w:val="32"/>
          <w:lang w:val="en-US" w:eastAsia="zh-CN" w:bidi="ar-SA"/>
        </w:rPr>
        <w:fldChar w:fldCharType="separate"/>
      </w:r>
      <w:r>
        <w:rPr>
          <w:rFonts w:hint="eastAsia" w:ascii="Times New Roman" w:hAnsi="Times New Roman" w:eastAsia="仿宋_GB2312" w:cs="Times New Roman"/>
          <w:b w:val="0"/>
          <w:bCs w:val="0"/>
          <w:kern w:val="28"/>
          <w:sz w:val="32"/>
          <w:szCs w:val="32"/>
          <w:lang w:val="en-US" w:eastAsia="zh-CN" w:bidi="ar-SA"/>
        </w:rPr>
        <w:t>③</w:t>
      </w:r>
      <w:r>
        <w:rPr>
          <w:rFonts w:hint="eastAsia" w:ascii="Times New Roman" w:hAnsi="Times New Roman" w:eastAsia="仿宋_GB2312" w:cs="Times New Roman"/>
          <w:b w:val="0"/>
          <w:bCs w:val="0"/>
          <w:kern w:val="28"/>
          <w:sz w:val="32"/>
          <w:szCs w:val="32"/>
          <w:lang w:val="en-US" w:eastAsia="zh-CN" w:bidi="ar-SA"/>
        </w:rPr>
        <w:fldChar w:fldCharType="end"/>
      </w:r>
      <w:r>
        <w:rPr>
          <w:rFonts w:hint="eastAsia" w:ascii="Times New Roman" w:hAnsi="Times New Roman" w:eastAsia="仿宋_GB2312" w:cs="Times New Roman"/>
          <w:b w:val="0"/>
          <w:bCs w:val="0"/>
          <w:kern w:val="28"/>
          <w:sz w:val="32"/>
          <w:szCs w:val="32"/>
          <w:lang w:val="en-US" w:eastAsia="zh-CN" w:bidi="ar-SA"/>
        </w:rPr>
        <w:t>时效指标：</w:t>
      </w:r>
    </w:p>
    <w:p w14:paraId="5E7CA8E0">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指标1：资金拨付及时性，指标值：大于等于95%，实际完成值：100%，指标完成率100 %。偏差原因：无。</w:t>
      </w:r>
    </w:p>
    <w:p w14:paraId="185B0D4C">
      <w:pPr>
        <w:pStyle w:val="9"/>
        <w:numPr>
          <w:ilvl w:val="0"/>
          <w:numId w:val="4"/>
        </w:numPr>
        <w:spacing w:line="560" w:lineRule="exact"/>
        <w:ind w:left="-13" w:leftChars="0" w:firstLine="643" w:firstLineChars="0"/>
        <w:rPr>
          <w:rFonts w:eastAsia="楷体_GB2312"/>
          <w:b/>
          <w:bCs/>
          <w:sz w:val="32"/>
          <w:szCs w:val="32"/>
        </w:rPr>
      </w:pPr>
      <w:r>
        <w:rPr>
          <w:rFonts w:hint="eastAsia" w:eastAsia="楷体_GB2312"/>
          <w:b/>
          <w:bCs/>
          <w:sz w:val="32"/>
          <w:szCs w:val="32"/>
        </w:rPr>
        <w:t>项目效益情况</w:t>
      </w:r>
    </w:p>
    <w:p w14:paraId="5A909964">
      <w:pPr>
        <w:spacing w:line="600" w:lineRule="exact"/>
        <w:ind w:firstLine="640" w:firstLineChars="200"/>
        <w:outlineLvl w:val="0"/>
        <w:rPr>
          <w:rFonts w:ascii="仿宋_GB2312" w:hAnsi="仿宋_GB2312" w:eastAsia="仿宋_GB2312" w:cs="仿宋_GB2312"/>
          <w:sz w:val="32"/>
          <w:szCs w:val="32"/>
        </w:rPr>
      </w:pPr>
      <w:r>
        <w:rPr>
          <w:rFonts w:hint="eastAsia" w:ascii="Times New Roman" w:hAnsi="Times New Roman" w:eastAsia="仿宋_GB2312" w:cs="Times New Roman"/>
          <w:b w:val="0"/>
          <w:bCs w:val="0"/>
          <w:kern w:val="28"/>
          <w:sz w:val="32"/>
          <w:szCs w:val="32"/>
          <w:lang w:val="en-US" w:eastAsia="zh-CN" w:bidi="ar-SA"/>
        </w:rPr>
        <w:t>项目效益类指标包括项目实施效益和满意度两方面的内容，由2个三级指标构成，权重分为20分，实际得分20分，得分率为100%。具体效益指标及满意度指标完成情况如下：</w:t>
      </w:r>
    </w:p>
    <w:p w14:paraId="475479CB">
      <w:pPr>
        <w:spacing w:line="600" w:lineRule="exact"/>
        <w:ind w:firstLine="643" w:firstLineChars="200"/>
        <w:outlineLv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实施效益</w:t>
      </w:r>
    </w:p>
    <w:p w14:paraId="029177E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社会效益指标：</w:t>
      </w:r>
    </w:p>
    <w:p w14:paraId="5ECF8AFE">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指标1：提高幼儿园教学水平，指标值：有效提高，实际完成值：完全达到预期效果，指标完成率100%。偏差原因：无。</w:t>
      </w:r>
    </w:p>
    <w:p w14:paraId="4AEA3206">
      <w:pPr>
        <w:spacing w:line="600" w:lineRule="exact"/>
        <w:ind w:firstLine="640" w:firstLineChars="200"/>
        <w:outlineLvl w:val="0"/>
        <w:rPr>
          <w:rFonts w:hint="eastAsia" w:ascii="仿宋_GB2312" w:hAnsi="仿宋_GB2312" w:eastAsia="仿宋_GB2312" w:cs="仿宋_GB2312"/>
          <w:sz w:val="32"/>
          <w:szCs w:val="32"/>
        </w:rPr>
      </w:pPr>
      <w:r>
        <w:rPr>
          <w:rFonts w:hint="eastAsia" w:ascii="Times New Roman" w:hAnsi="Times New Roman" w:eastAsia="仿宋_GB2312" w:cs="Times New Roman"/>
          <w:b w:val="0"/>
          <w:bCs w:val="0"/>
          <w:kern w:val="28"/>
          <w:sz w:val="32"/>
          <w:szCs w:val="32"/>
          <w:lang w:val="en-US" w:eastAsia="zh-CN" w:bidi="ar-SA"/>
        </w:rPr>
        <w:t>指标2：减轻幼儿家庭经济负担，指标值：有效减轻，实际完成值：完全达到</w:t>
      </w:r>
      <w:r>
        <w:rPr>
          <w:rFonts w:hint="eastAsia" w:ascii="仿宋_GB2312" w:hAnsi="仿宋_GB2312" w:eastAsia="仿宋_GB2312" w:cs="仿宋_GB2312"/>
          <w:sz w:val="32"/>
          <w:szCs w:val="32"/>
          <w:lang w:eastAsia="zh-CN"/>
        </w:rPr>
        <w:t>预期效果</w:t>
      </w:r>
      <w:r>
        <w:rPr>
          <w:rFonts w:hint="eastAsia" w:ascii="仿宋_GB2312" w:hAnsi="仿宋_GB2312" w:eastAsia="仿宋_GB2312" w:cs="仿宋_GB2312"/>
          <w:sz w:val="32"/>
          <w:szCs w:val="32"/>
        </w:rPr>
        <w:t>，指标完成率</w:t>
      </w:r>
      <w:r>
        <w:rPr>
          <w:rFonts w:hint="eastAsia" w:ascii="Times New Roman" w:hAnsi="Times New Roman" w:eastAsia="仿宋_GB2312" w:cs="Times New Roman"/>
          <w:b w:val="0"/>
          <w:bCs w:val="0"/>
          <w:kern w:val="28"/>
          <w:sz w:val="32"/>
          <w:szCs w:val="32"/>
          <w:lang w:val="en-US" w:eastAsia="zh-CN" w:bidi="ar-SA"/>
        </w:rPr>
        <w:t>100%</w:t>
      </w:r>
      <w:r>
        <w:rPr>
          <w:rFonts w:hint="eastAsia" w:ascii="仿宋_GB2312" w:hAnsi="仿宋_GB2312" w:eastAsia="仿宋_GB2312" w:cs="仿宋_GB2312"/>
          <w:sz w:val="32"/>
          <w:szCs w:val="32"/>
        </w:rPr>
        <w:t>。偏差原因：</w:t>
      </w:r>
      <w:r>
        <w:rPr>
          <w:rFonts w:hint="eastAsia" w:ascii="仿宋_GB2312" w:hAnsi="仿宋_GB2312" w:eastAsia="仿宋_GB2312" w:cs="仿宋_GB2312"/>
          <w:sz w:val="32"/>
          <w:szCs w:val="32"/>
          <w:lang w:eastAsia="zh-CN"/>
        </w:rPr>
        <w:t>无</w:t>
      </w:r>
      <w:r>
        <w:rPr>
          <w:rFonts w:hint="eastAsia" w:ascii="仿宋_GB2312" w:hAnsi="仿宋_GB2312" w:eastAsia="仿宋_GB2312" w:cs="仿宋_GB2312"/>
          <w:sz w:val="32"/>
          <w:szCs w:val="32"/>
        </w:rPr>
        <w:t>。</w:t>
      </w:r>
    </w:p>
    <w:p w14:paraId="0C04D1DC">
      <w:pPr>
        <w:spacing w:line="560" w:lineRule="exact"/>
        <w:ind w:firstLine="640" w:firstLineChars="200"/>
        <w:rPr>
          <w:rStyle w:val="18"/>
          <w:rFonts w:ascii="Times New Roman" w:hAnsi="Times New Roman" w:cs="Times New Roman"/>
          <w:color w:val="auto"/>
        </w:rPr>
      </w:pPr>
      <w:r>
        <w:rPr>
          <w:rFonts w:hint="eastAsia" w:eastAsia="黑体"/>
          <w:sz w:val="32"/>
          <w:szCs w:val="32"/>
          <w:lang w:val="en-US" w:eastAsia="zh-CN"/>
        </w:rPr>
        <w:t>五</w:t>
      </w:r>
      <w:r>
        <w:rPr>
          <w:rFonts w:eastAsia="黑体"/>
          <w:sz w:val="32"/>
          <w:szCs w:val="32"/>
        </w:rPr>
        <w:t>、主要经验及做法、存在的问题及原因分析</w:t>
      </w:r>
    </w:p>
    <w:p w14:paraId="4348BB7D">
      <w:pPr>
        <w:spacing w:line="560" w:lineRule="exact"/>
        <w:ind w:firstLine="627" w:firstLineChars="200"/>
        <w:rPr>
          <w:rFonts w:eastAsia="楷体"/>
          <w:b/>
          <w:spacing w:val="-4"/>
          <w:sz w:val="32"/>
          <w:szCs w:val="32"/>
        </w:rPr>
      </w:pPr>
      <w:r>
        <w:rPr>
          <w:rFonts w:eastAsia="楷体"/>
          <w:b/>
          <w:spacing w:val="-4"/>
          <w:sz w:val="32"/>
          <w:szCs w:val="32"/>
        </w:rPr>
        <w:t>（一）主要经验及做法</w:t>
      </w:r>
    </w:p>
    <w:p w14:paraId="52C93719">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01577490">
      <w:pPr>
        <w:pStyle w:val="2"/>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4703327A">
      <w:pPr>
        <w:keepNext/>
        <w:keepLines/>
        <w:numPr>
          <w:ilvl w:val="0"/>
          <w:numId w:val="5"/>
        </w:numPr>
        <w:spacing w:line="560" w:lineRule="exact"/>
        <w:ind w:firstLine="643" w:firstLineChars="200"/>
        <w:rPr>
          <w:rFonts w:eastAsia="楷体_GB2312"/>
          <w:b/>
          <w:bCs/>
          <w:sz w:val="32"/>
          <w:szCs w:val="32"/>
        </w:rPr>
      </w:pPr>
      <w:r>
        <w:rPr>
          <w:rFonts w:eastAsia="楷体_GB2312"/>
          <w:b/>
          <w:bCs/>
          <w:sz w:val="32"/>
          <w:szCs w:val="32"/>
        </w:rPr>
        <w:t>存在的问题及原因分析</w:t>
      </w:r>
    </w:p>
    <w:p w14:paraId="6BD01849">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695F6F6A">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2.因轮岗、调动、等因素使我单位绩效工作人员流动频繁，造成了工作衔接不到位的情况。</w:t>
      </w:r>
    </w:p>
    <w:p w14:paraId="2ABEA41C">
      <w:pPr>
        <w:spacing w:line="560" w:lineRule="exact"/>
        <w:ind w:firstLine="640" w:firstLineChars="200"/>
        <w:rPr>
          <w:rFonts w:eastAsia="黑体"/>
          <w:sz w:val="32"/>
          <w:szCs w:val="32"/>
        </w:rPr>
      </w:pPr>
      <w:r>
        <w:rPr>
          <w:rFonts w:hint="eastAsia" w:eastAsia="黑体"/>
          <w:sz w:val="32"/>
          <w:szCs w:val="32"/>
          <w:lang w:val="en-US" w:eastAsia="zh-CN"/>
        </w:rPr>
        <w:t>六</w:t>
      </w:r>
      <w:r>
        <w:rPr>
          <w:rFonts w:hint="eastAsia" w:eastAsia="黑体"/>
          <w:sz w:val="32"/>
          <w:szCs w:val="32"/>
        </w:rPr>
        <w:t>、</w:t>
      </w:r>
      <w:r>
        <w:rPr>
          <w:rFonts w:eastAsia="黑体"/>
          <w:sz w:val="32"/>
          <w:szCs w:val="32"/>
        </w:rPr>
        <w:t>有关建议</w:t>
      </w:r>
    </w:p>
    <w:p w14:paraId="5D80910B">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1.多进行有关绩效管理工作方面的培训。积极组织第三方开展绩效管理工作培训，进一步夯实业务基础，提高我单位绩效人员水平。</w:t>
      </w:r>
    </w:p>
    <w:p w14:paraId="3D92C487">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2.专门设定对绩效工作人员定职、定岗、定责等相关制度措施，进一步提升我单位绩效管理工作业务水平，扎实做好绩效管理工作。</w:t>
      </w:r>
    </w:p>
    <w:p w14:paraId="2855B673">
      <w:pPr>
        <w:spacing w:line="600" w:lineRule="exact"/>
        <w:ind w:firstLine="640" w:firstLineChars="200"/>
        <w:outlineLvl w:val="0"/>
        <w:rPr>
          <w:rFonts w:ascii="仿宋_GB2312" w:hAnsi="仿宋_GB2312" w:eastAsia="仿宋_GB2312" w:cs="仿宋_GB2312"/>
          <w:sz w:val="32"/>
          <w:szCs w:val="32"/>
        </w:rPr>
      </w:pPr>
      <w:r>
        <w:rPr>
          <w:rFonts w:hint="eastAsia" w:ascii="Times New Roman" w:hAnsi="Times New Roman" w:eastAsia="仿宋_GB2312" w:cs="Times New Roman"/>
          <w:b w:val="0"/>
          <w:bCs w:val="0"/>
          <w:kern w:val="28"/>
          <w:sz w:val="32"/>
          <w:szCs w:val="32"/>
          <w:lang w:val="en-US" w:eastAsia="zh-CN" w:bidi="ar-SA"/>
        </w:rPr>
        <w:t>3.进一步规范项目建设的</w:t>
      </w:r>
      <w:r>
        <w:rPr>
          <w:rFonts w:hint="eastAsia" w:ascii="仿宋_GB2312" w:hAnsi="仿宋_GB2312" w:eastAsia="仿宋_GB2312" w:cs="仿宋_GB2312"/>
          <w:sz w:val="32"/>
          <w:szCs w:val="32"/>
        </w:rPr>
        <w:t>程序。项目前期做好可行性研究报告，更加细化实施方案，严格执行资金管理办法和财政资金管理制度，严格按照项目实施方案、招投标管理办法等稳步推进工作，各部门单位根据自己项目的特点进行总结。</w:t>
      </w:r>
    </w:p>
    <w:p w14:paraId="5691C671">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4.进一步完善项目评价过程中有关数据和资料的收集、整理、审核及分析。项目启动时同步做好档案的归纳与整理，及时整理、收集、汇总，健全档案资料。项目后续管理有待进一步加强和跟踪。</w:t>
      </w:r>
    </w:p>
    <w:p w14:paraId="6E374DDF">
      <w:pPr>
        <w:spacing w:line="600" w:lineRule="exact"/>
        <w:ind w:firstLine="640" w:firstLineChars="200"/>
        <w:outlineLvl w:val="0"/>
        <w:rPr>
          <w:rFonts w:hint="eastAsia" w:ascii="仿宋_GB2312" w:hAnsi="仿宋_GB2312" w:eastAsia="仿宋_GB2312" w:cs="仿宋_GB2312"/>
          <w:sz w:val="32"/>
          <w:szCs w:val="32"/>
        </w:rPr>
      </w:pPr>
      <w:r>
        <w:rPr>
          <w:rFonts w:hint="eastAsia" w:ascii="Times New Roman" w:hAnsi="Times New Roman" w:eastAsia="仿宋_GB2312" w:cs="Times New Roman"/>
          <w:b w:val="0"/>
          <w:bCs w:val="0"/>
          <w:kern w:val="28"/>
          <w:sz w:val="32"/>
          <w:szCs w:val="32"/>
          <w:lang w:val="en-US" w:eastAsia="zh-CN" w:bidi="ar-SA"/>
        </w:rPr>
        <w:t>5.进一步加强对绩效管理工作的组织领导，提高对预算绩效管理工作重要性的认识，总结</w:t>
      </w:r>
      <w:r>
        <w:rPr>
          <w:rFonts w:hint="eastAsia" w:ascii="仿宋_GB2312" w:hAnsi="仿宋_GB2312" w:eastAsia="仿宋_GB2312" w:cs="仿宋_GB2312"/>
          <w:sz w:val="32"/>
          <w:szCs w:val="32"/>
        </w:rPr>
        <w:t>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72B67F7B">
      <w:pPr>
        <w:ind w:firstLine="640" w:firstLineChars="200"/>
        <w:rPr>
          <w:rFonts w:eastAsia="黑体"/>
          <w:sz w:val="32"/>
          <w:szCs w:val="32"/>
        </w:rPr>
      </w:pPr>
      <w:r>
        <w:rPr>
          <w:rFonts w:hint="eastAsia" w:eastAsia="黑体"/>
          <w:sz w:val="32"/>
          <w:szCs w:val="32"/>
          <w:lang w:val="en-US" w:eastAsia="zh-CN"/>
        </w:rPr>
        <w:t>七</w:t>
      </w:r>
      <w:r>
        <w:rPr>
          <w:rFonts w:hint="eastAsia" w:eastAsia="黑体"/>
          <w:sz w:val="32"/>
          <w:szCs w:val="32"/>
        </w:rPr>
        <w:t>、</w:t>
      </w:r>
      <w:r>
        <w:rPr>
          <w:rFonts w:eastAsia="黑体"/>
          <w:sz w:val="32"/>
          <w:szCs w:val="32"/>
        </w:rPr>
        <w:t>其他需要说</w:t>
      </w:r>
      <w:bookmarkStart w:id="2" w:name="page8"/>
      <w:bookmarkEnd w:id="2"/>
      <w:r>
        <w:rPr>
          <w:rFonts w:eastAsia="黑体"/>
          <w:sz w:val="32"/>
          <w:szCs w:val="32"/>
        </w:rPr>
        <w:t>明的问题</w:t>
      </w:r>
    </w:p>
    <w:p w14:paraId="0E8467A4">
      <w:pPr>
        <w:pStyle w:val="10"/>
        <w:spacing w:after="0" w:line="56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本项目无其他需说明的问题。</w:t>
      </w:r>
    </w:p>
    <w:p w14:paraId="0084BF82">
      <w:bookmarkStart w:id="3" w:name="_GoBack"/>
      <w:bookmarkEnd w:id="3"/>
    </w:p>
    <w:sectPr>
      <w:footerReference r:id="rId3" w:type="default"/>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61E8A69-0F9A-409B-8A1A-1D6FF489363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7A458C18-B8AF-4FA8-A195-163C9AB946B4}"/>
  </w:font>
  <w:font w:name="华文中宋">
    <w:panose1 w:val="02010600040101010101"/>
    <w:charset w:val="86"/>
    <w:family w:val="auto"/>
    <w:pitch w:val="default"/>
    <w:sig w:usb0="00000287" w:usb1="080F0000" w:usb2="00000000" w:usb3="00000000" w:csb0="0004009F" w:csb1="DFD70000"/>
    <w:embedRegular r:id="rId3" w:fontKey="{9B5296B8-48DA-4516-AD3D-225135AC177D}"/>
  </w:font>
  <w:font w:name="方正小标宋_GBK">
    <w:panose1 w:val="02000000000000000000"/>
    <w:charset w:val="86"/>
    <w:family w:val="script"/>
    <w:pitch w:val="default"/>
    <w:sig w:usb0="A00002BF" w:usb1="38CF7CFA" w:usb2="00082016" w:usb3="00000000" w:csb0="00040001" w:csb1="00000000"/>
    <w:embedRegular r:id="rId4" w:fontKey="{62162D57-4EA9-4708-A19C-25B804D761CC}"/>
  </w:font>
  <w:font w:name="楷体_GB2312">
    <w:panose1 w:val="02010609030101010101"/>
    <w:charset w:val="86"/>
    <w:family w:val="auto"/>
    <w:pitch w:val="default"/>
    <w:sig w:usb0="00000001" w:usb1="080E0000" w:usb2="00000000" w:usb3="00000000" w:csb0="00040000" w:csb1="00000000"/>
    <w:embedRegular r:id="rId5" w:fontKey="{4CFB2F1A-6690-449C-A872-0B9A496F64A1}"/>
  </w:font>
  <w:font w:name="方正仿宋_GBK">
    <w:panose1 w:val="02000000000000000000"/>
    <w:charset w:val="86"/>
    <w:family w:val="auto"/>
    <w:pitch w:val="default"/>
    <w:sig w:usb0="A00002BF" w:usb1="38CF7CFA" w:usb2="00082016" w:usb3="00000000" w:csb0="00040001" w:csb1="00000000"/>
    <w:embedRegular r:id="rId6" w:fontKey="{2B6ED54C-7A6E-4041-B13A-53BB20E89313}"/>
  </w:font>
  <w:font w:name="楷体">
    <w:panose1 w:val="02010609060101010101"/>
    <w:charset w:val="86"/>
    <w:family w:val="modern"/>
    <w:pitch w:val="default"/>
    <w:sig w:usb0="800002BF" w:usb1="38CF7CFA" w:usb2="00000016" w:usb3="00000000" w:csb0="00040001" w:csb1="00000000"/>
    <w:embedRegular r:id="rId7" w:fontKey="{6123F908-83B4-4A64-9164-5474913C5D37}"/>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5458"/>
    </w:sdtPr>
    <w:sdtContent>
      <w:p w14:paraId="325EF635">
        <w:pPr>
          <w:pStyle w:val="7"/>
          <w:jc w:val="center"/>
        </w:pPr>
        <w:r>
          <w:fldChar w:fldCharType="begin"/>
        </w:r>
        <w:r>
          <w:instrText xml:space="preserve">PAGE   \* MERGEFORMAT</w:instrText>
        </w:r>
        <w:r>
          <w:fldChar w:fldCharType="separate"/>
        </w:r>
        <w:r>
          <w:rPr>
            <w:lang w:val="zh-CN"/>
          </w:rPr>
          <w:t>13</w:t>
        </w:r>
        <w:r>
          <w:fldChar w:fldCharType="end"/>
        </w:r>
      </w:p>
    </w:sdtContent>
  </w:sdt>
  <w:p w14:paraId="0A5100B9">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2"/>
      <w:numFmt w:val="chineseCounting"/>
      <w:suff w:val="nothing"/>
      <w:lvlText w:val="（%1）"/>
      <w:lvlJc w:val="left"/>
      <w:pPr>
        <w:ind w:left="-13"/>
      </w:pPr>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2NTU0MWNlMTdmZDllOTYxYjJiZGVlZTI3NjFlNmQifQ=="/>
  </w:docVars>
  <w:rsids>
    <w:rsidRoot w:val="00000000"/>
    <w:rsid w:val="7004550E"/>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qFormat/>
    <w:uiPriority w:val="0"/>
    <w:pPr>
      <w:spacing w:after="0"/>
      <w:ind w:firstLine="200" w:firstLineChars="200"/>
    </w:pPr>
  </w:style>
  <w:style w:type="paragraph" w:styleId="10">
    <w:name w:val="Body Text First Indent 2"/>
    <w:basedOn w:val="5"/>
    <w:qFormat/>
    <w:uiPriority w:val="0"/>
    <w:pPr>
      <w:ind w:firstLine="420" w:firstLineChars="200"/>
    </w:pPr>
  </w:style>
  <w:style w:type="table" w:styleId="12">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4">
    <w:name w:val="Strong"/>
    <w:basedOn w:val="13"/>
    <w:qFormat/>
    <w:uiPriority w:val="0"/>
    <w:rPr>
      <w:b/>
      <w:bCs/>
    </w:rPr>
  </w:style>
  <w:style w:type="paragraph" w:customStyle="1" w:styleId="15">
    <w:name w:val="Comment Text"/>
    <w:basedOn w:val="1"/>
    <w:link w:val="22"/>
    <w:qFormat/>
    <w:uiPriority w:val="0"/>
    <w:pPr>
      <w:jc w:val="left"/>
    </w:pPr>
  </w:style>
  <w:style w:type="paragraph" w:customStyle="1" w:styleId="16">
    <w:name w:val="Comment Subject"/>
    <w:basedOn w:val="15"/>
    <w:next w:val="15"/>
    <w:link w:val="23"/>
    <w:qFormat/>
    <w:uiPriority w:val="0"/>
    <w:rPr>
      <w:b/>
      <w:bCs/>
    </w:rPr>
  </w:style>
  <w:style w:type="character" w:customStyle="1" w:styleId="17">
    <w:name w:val="Comment Reference"/>
    <w:basedOn w:val="13"/>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3"/>
    <w:link w:val="6"/>
    <w:qFormat/>
    <w:uiPriority w:val="0"/>
    <w:rPr>
      <w:rFonts w:ascii="Times New Roman" w:hAnsi="Times New Roman" w:eastAsia="宋体" w:cs="Times New Roman"/>
      <w:kern w:val="2"/>
      <w:sz w:val="18"/>
      <w:szCs w:val="18"/>
    </w:rPr>
  </w:style>
  <w:style w:type="character" w:customStyle="1" w:styleId="21">
    <w:name w:val="页眉 字符"/>
    <w:basedOn w:val="13"/>
    <w:link w:val="8"/>
    <w:qFormat/>
    <w:uiPriority w:val="0"/>
    <w:rPr>
      <w:rFonts w:ascii="Times New Roman" w:hAnsi="Times New Roman" w:eastAsia="宋体" w:cs="Times New Roman"/>
      <w:kern w:val="2"/>
      <w:sz w:val="18"/>
      <w:szCs w:val="18"/>
    </w:rPr>
  </w:style>
  <w:style w:type="character" w:customStyle="1" w:styleId="22">
    <w:name w:val="批注文字 字符"/>
    <w:basedOn w:val="13"/>
    <w:link w:val="15"/>
    <w:qFormat/>
    <w:uiPriority w:val="0"/>
    <w:rPr>
      <w:rFonts w:ascii="Times New Roman" w:hAnsi="Times New Roman" w:eastAsia="宋体" w:cs="Times New Roman"/>
      <w:kern w:val="2"/>
      <w:sz w:val="21"/>
      <w:szCs w:val="24"/>
    </w:rPr>
  </w:style>
  <w:style w:type="character" w:customStyle="1" w:styleId="23">
    <w:name w:val="批注主题 字符"/>
    <w:basedOn w:val="22"/>
    <w:link w:val="16"/>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35462C0B3FB543198819AAAFD75799DD_13</vt:lpwstr>
  </property>
  <property fmtid="{D5CDD505-2E9C-101B-9397-08002B2CF9AE}" pid="4" name="KSOTemplateDocerSaveRecord">
    <vt:lpwstr>eyJoZGlkIjoiYTFiZmM0ZmFhNWY3YzZjYTdlMmQ5ODUzZmFmYjg3M2IiLCJ1c2VySWQiOiIyMTk4OTg3NDQifQ==</vt:lpwstr>
  </property>
</Properties>
</file>

<file path=customXml/itemProps1.xml><?xml version="1.0" encoding="utf-8"?>
<ds:datastoreItem xmlns:ds="http://schemas.openxmlformats.org/officeDocument/2006/customXml" ds:itemID="{EEA5C986-6CAE-461A-935E-905AB5D0E2F3}">
  <ds:schemaRefs/>
</ds:datastoreItem>
</file>

<file path=customXml/itemProps2.xml><?xml version="1.0" encoding="utf-8"?>
<ds:datastoreItem xmlns:ds="http://schemas.openxmlformats.org/officeDocument/2006/customXml" ds:itemID="{5c119141-d6b2-4fd5-a677-805d6193f602}">
  <ds:schemaRefs/>
</ds:datastoreItem>
</file>

<file path=docProps/app.xml><?xml version="1.0" encoding="utf-8"?>
<Properties xmlns="http://schemas.openxmlformats.org/officeDocument/2006/extended-properties" xmlns:vt="http://schemas.openxmlformats.org/officeDocument/2006/docPropsVTypes">
  <Template>Normal</Template>
  <Pages>18</Pages>
  <Words>102</Words>
  <Characters>108</Characters>
  <Lines>66</Lines>
  <Paragraphs>18</Paragraphs>
  <TotalTime>26</TotalTime>
  <ScaleCrop>false</ScaleCrop>
  <LinksUpToDate>false</LinksUpToDate>
  <CharactersWithSpaces>108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雨。</cp:lastModifiedBy>
  <dcterms:modified xsi:type="dcterms:W3CDTF">2025-11-05T04:53:40Z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35462C0B3FB543198819AAAFD75799DD_13</vt:lpwstr>
  </property>
  <property fmtid="{D5CDD505-2E9C-101B-9397-08002B2CF9AE}" pid="4" name="KSOTemplateDocerSaveRecord">
    <vt:lpwstr>eyJoZGlkIjoiMGIxZTI3ODM4ZmVjOGE5NDFiYmE3OTRiMjQ5OTEyNzIiLCJ1c2VySWQiOiIyNTk4NTcxMjUifQ==</vt:lpwstr>
  </property>
</Properties>
</file>